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0C9" w:rsidRDefault="001B753D" w:rsidP="001B753D">
      <w:pPr>
        <w:jc w:val="center"/>
        <w:rPr>
          <w:b/>
          <w:sz w:val="28"/>
          <w:szCs w:val="28"/>
        </w:rPr>
      </w:pPr>
      <w:r w:rsidRPr="00B12EC9">
        <w:rPr>
          <w:b/>
          <w:sz w:val="28"/>
          <w:szCs w:val="28"/>
        </w:rPr>
        <w:t xml:space="preserve">Corrective Action Plan for the TEP </w:t>
      </w:r>
      <w:r w:rsidR="00CC613D">
        <w:rPr>
          <w:b/>
          <w:sz w:val="28"/>
          <w:szCs w:val="28"/>
        </w:rPr>
        <w:t xml:space="preserve">Crystal Creek </w:t>
      </w:r>
      <w:r w:rsidR="00FE6401">
        <w:rPr>
          <w:b/>
          <w:sz w:val="28"/>
          <w:szCs w:val="28"/>
        </w:rPr>
        <w:t xml:space="preserve">A-2 </w:t>
      </w:r>
      <w:r w:rsidRPr="00B12EC9">
        <w:rPr>
          <w:b/>
          <w:sz w:val="28"/>
          <w:szCs w:val="28"/>
        </w:rPr>
        <w:t>MV 1-23 Pad</w:t>
      </w:r>
      <w:r w:rsidR="00CC613D">
        <w:rPr>
          <w:b/>
          <w:sz w:val="28"/>
          <w:szCs w:val="28"/>
        </w:rPr>
        <w:t xml:space="preserve"> (API #045-06476)</w:t>
      </w:r>
    </w:p>
    <w:p w:rsidR="00B12EC9" w:rsidRDefault="008F643E" w:rsidP="001B753D">
      <w:pPr>
        <w:jc w:val="center"/>
        <w:rPr>
          <w:b/>
          <w:sz w:val="28"/>
          <w:szCs w:val="28"/>
        </w:rPr>
      </w:pPr>
      <w:r>
        <w:rPr>
          <w:b/>
          <w:sz w:val="28"/>
          <w:szCs w:val="28"/>
        </w:rPr>
        <w:t>May 2</w:t>
      </w:r>
      <w:r w:rsidR="00B12EC9">
        <w:rPr>
          <w:b/>
          <w:sz w:val="28"/>
          <w:szCs w:val="28"/>
        </w:rPr>
        <w:t>, 2017</w:t>
      </w:r>
    </w:p>
    <w:p w:rsidR="00B12EC9" w:rsidRDefault="00B12EC9" w:rsidP="00B12EC9">
      <w:pPr>
        <w:rPr>
          <w:sz w:val="24"/>
          <w:szCs w:val="24"/>
        </w:rPr>
      </w:pPr>
    </w:p>
    <w:tbl>
      <w:tblPr>
        <w:tblStyle w:val="TableGrid"/>
        <w:tblW w:w="13770" w:type="dxa"/>
        <w:tblInd w:w="-365" w:type="dxa"/>
        <w:tblLook w:val="04A0" w:firstRow="1" w:lastRow="0" w:firstColumn="1" w:lastColumn="0" w:noHBand="0" w:noVBand="1"/>
      </w:tblPr>
      <w:tblGrid>
        <w:gridCol w:w="2340"/>
        <w:gridCol w:w="3420"/>
        <w:gridCol w:w="5220"/>
        <w:gridCol w:w="2790"/>
      </w:tblGrid>
      <w:tr w:rsidR="00B12EC9" w:rsidTr="007D18D8">
        <w:tc>
          <w:tcPr>
            <w:tcW w:w="2340" w:type="dxa"/>
          </w:tcPr>
          <w:p w:rsidR="00B12EC9" w:rsidRPr="00B12EC9" w:rsidRDefault="00B12EC9" w:rsidP="00B12EC9">
            <w:pPr>
              <w:rPr>
                <w:b/>
              </w:rPr>
            </w:pPr>
            <w:r w:rsidRPr="00B12EC9">
              <w:rPr>
                <w:b/>
              </w:rPr>
              <w:t>Issue Identified</w:t>
            </w:r>
          </w:p>
        </w:tc>
        <w:tc>
          <w:tcPr>
            <w:tcW w:w="3420" w:type="dxa"/>
          </w:tcPr>
          <w:p w:rsidR="00B12EC9" w:rsidRPr="00B12EC9" w:rsidRDefault="00B12EC9" w:rsidP="00B12EC9">
            <w:pPr>
              <w:rPr>
                <w:b/>
              </w:rPr>
            </w:pPr>
            <w:r w:rsidRPr="00B12EC9">
              <w:rPr>
                <w:b/>
              </w:rPr>
              <w:t>COGCC Corrective Action Requested</w:t>
            </w:r>
          </w:p>
        </w:tc>
        <w:tc>
          <w:tcPr>
            <w:tcW w:w="5220" w:type="dxa"/>
          </w:tcPr>
          <w:p w:rsidR="00B12EC9" w:rsidRPr="00B12EC9" w:rsidRDefault="00B12EC9" w:rsidP="00B12EC9">
            <w:pPr>
              <w:rPr>
                <w:b/>
              </w:rPr>
            </w:pPr>
            <w:r w:rsidRPr="00B12EC9">
              <w:rPr>
                <w:b/>
              </w:rPr>
              <w:t>TEP Response</w:t>
            </w:r>
          </w:p>
        </w:tc>
        <w:tc>
          <w:tcPr>
            <w:tcW w:w="2790" w:type="dxa"/>
          </w:tcPr>
          <w:p w:rsidR="00B12EC9" w:rsidRPr="00B12EC9" w:rsidRDefault="00B12EC9" w:rsidP="00B12EC9">
            <w:pPr>
              <w:rPr>
                <w:b/>
              </w:rPr>
            </w:pPr>
            <w:r w:rsidRPr="00B12EC9">
              <w:rPr>
                <w:b/>
              </w:rPr>
              <w:t>Corrective Action Date</w:t>
            </w:r>
          </w:p>
        </w:tc>
      </w:tr>
      <w:tr w:rsidR="00B12EC9" w:rsidRPr="00396CF9" w:rsidTr="007D18D8">
        <w:tc>
          <w:tcPr>
            <w:tcW w:w="2340" w:type="dxa"/>
          </w:tcPr>
          <w:p w:rsidR="00B12EC9" w:rsidRPr="00396CF9" w:rsidRDefault="00B12EC9" w:rsidP="00B12EC9">
            <w:pPr>
              <w:rPr>
                <w:sz w:val="20"/>
                <w:szCs w:val="20"/>
              </w:rPr>
            </w:pPr>
            <w:r w:rsidRPr="00396CF9">
              <w:rPr>
                <w:sz w:val="20"/>
                <w:szCs w:val="20"/>
              </w:rPr>
              <w:t>Open culverts / cans</w:t>
            </w:r>
          </w:p>
        </w:tc>
        <w:tc>
          <w:tcPr>
            <w:tcW w:w="3420" w:type="dxa"/>
          </w:tcPr>
          <w:p w:rsidR="00B12EC9" w:rsidRPr="00396CF9" w:rsidRDefault="00B12EC9" w:rsidP="00B12EC9">
            <w:pPr>
              <w:rPr>
                <w:sz w:val="20"/>
                <w:szCs w:val="20"/>
              </w:rPr>
            </w:pPr>
            <w:r w:rsidRPr="00396CF9">
              <w:rPr>
                <w:sz w:val="20"/>
                <w:szCs w:val="20"/>
              </w:rPr>
              <w:t>Close or cover ASAP</w:t>
            </w:r>
          </w:p>
        </w:tc>
        <w:tc>
          <w:tcPr>
            <w:tcW w:w="5220" w:type="dxa"/>
          </w:tcPr>
          <w:p w:rsidR="00B12EC9" w:rsidRPr="00396CF9" w:rsidRDefault="00396CF9" w:rsidP="00B12EC9">
            <w:pPr>
              <w:rPr>
                <w:sz w:val="20"/>
                <w:szCs w:val="20"/>
              </w:rPr>
            </w:pPr>
            <w:r>
              <w:rPr>
                <w:sz w:val="20"/>
                <w:szCs w:val="20"/>
              </w:rPr>
              <w:t xml:space="preserve">Agreed.  </w:t>
            </w:r>
            <w:r w:rsidR="00117C2E">
              <w:rPr>
                <w:sz w:val="20"/>
                <w:szCs w:val="20"/>
              </w:rPr>
              <w:t>Open culverts for accessing lines / valves have</w:t>
            </w:r>
            <w:r w:rsidR="005E4CAC">
              <w:rPr>
                <w:sz w:val="20"/>
                <w:szCs w:val="20"/>
              </w:rPr>
              <w:t xml:space="preserve"> been covered.</w:t>
            </w:r>
          </w:p>
        </w:tc>
        <w:tc>
          <w:tcPr>
            <w:tcW w:w="2790" w:type="dxa"/>
          </w:tcPr>
          <w:p w:rsidR="00B12EC9" w:rsidRPr="00396CF9" w:rsidRDefault="00396CF9" w:rsidP="00B12EC9">
            <w:pPr>
              <w:rPr>
                <w:sz w:val="20"/>
                <w:szCs w:val="20"/>
              </w:rPr>
            </w:pPr>
            <w:r>
              <w:rPr>
                <w:sz w:val="20"/>
                <w:szCs w:val="20"/>
              </w:rPr>
              <w:t xml:space="preserve">Completed on </w:t>
            </w:r>
            <w:r w:rsidRPr="00396CF9">
              <w:rPr>
                <w:sz w:val="20"/>
                <w:szCs w:val="20"/>
              </w:rPr>
              <w:t>04/27/17</w:t>
            </w:r>
          </w:p>
        </w:tc>
      </w:tr>
      <w:tr w:rsidR="00B12EC9" w:rsidRPr="00396CF9" w:rsidTr="007D18D8">
        <w:tc>
          <w:tcPr>
            <w:tcW w:w="2340" w:type="dxa"/>
          </w:tcPr>
          <w:p w:rsidR="00B12EC9" w:rsidRPr="00396CF9" w:rsidRDefault="00396CF9" w:rsidP="00B12EC9">
            <w:pPr>
              <w:rPr>
                <w:sz w:val="20"/>
                <w:szCs w:val="20"/>
              </w:rPr>
            </w:pPr>
            <w:r w:rsidRPr="00396CF9">
              <w:rPr>
                <w:sz w:val="20"/>
                <w:szCs w:val="20"/>
              </w:rPr>
              <w:t>Site reclamation</w:t>
            </w:r>
          </w:p>
        </w:tc>
        <w:tc>
          <w:tcPr>
            <w:tcW w:w="3420" w:type="dxa"/>
          </w:tcPr>
          <w:p w:rsidR="00B12EC9" w:rsidRPr="00396CF9" w:rsidRDefault="00396CF9" w:rsidP="00B12EC9">
            <w:pPr>
              <w:rPr>
                <w:sz w:val="20"/>
                <w:szCs w:val="20"/>
              </w:rPr>
            </w:pPr>
            <w:r>
              <w:rPr>
                <w:sz w:val="20"/>
                <w:szCs w:val="20"/>
              </w:rPr>
              <w:t>Reclaim permitted site in accordance with COGCC final reclamation standards</w:t>
            </w:r>
          </w:p>
        </w:tc>
        <w:tc>
          <w:tcPr>
            <w:tcW w:w="5220" w:type="dxa"/>
          </w:tcPr>
          <w:p w:rsidR="00B12EC9" w:rsidRPr="00396CF9" w:rsidRDefault="00396CF9" w:rsidP="00B12EC9">
            <w:pPr>
              <w:rPr>
                <w:sz w:val="20"/>
                <w:szCs w:val="20"/>
              </w:rPr>
            </w:pPr>
            <w:r>
              <w:rPr>
                <w:sz w:val="20"/>
                <w:szCs w:val="20"/>
              </w:rPr>
              <w:t>Agreed.  Area of original pad disturbance will be regraded and shaped to match surround</w:t>
            </w:r>
            <w:r w:rsidR="005E4CAC">
              <w:rPr>
                <w:sz w:val="20"/>
                <w:szCs w:val="20"/>
              </w:rPr>
              <w:t>ing</w:t>
            </w:r>
            <w:r>
              <w:rPr>
                <w:sz w:val="20"/>
                <w:szCs w:val="20"/>
              </w:rPr>
              <w:t xml:space="preserve"> contours.  Soils will be prepped (de-compacted, disked) prior to seeding.  Soil samples will be collected to determine if amendments are needed. Area will be seeded with seed mix approved by sur</w:t>
            </w:r>
            <w:r w:rsidR="005E4CAC">
              <w:rPr>
                <w:sz w:val="20"/>
                <w:szCs w:val="20"/>
              </w:rPr>
              <w:t>face owner, and will be mulched and crimped.</w:t>
            </w:r>
          </w:p>
        </w:tc>
        <w:tc>
          <w:tcPr>
            <w:tcW w:w="2790" w:type="dxa"/>
          </w:tcPr>
          <w:p w:rsidR="00CC613D" w:rsidRDefault="005E4CAC" w:rsidP="00B12EC9">
            <w:pPr>
              <w:rPr>
                <w:sz w:val="20"/>
                <w:szCs w:val="20"/>
              </w:rPr>
            </w:pPr>
            <w:r>
              <w:rPr>
                <w:sz w:val="20"/>
                <w:szCs w:val="20"/>
              </w:rPr>
              <w:t>Reclamation work to begin by 06/1</w:t>
            </w:r>
            <w:r w:rsidR="00CC613D">
              <w:rPr>
                <w:sz w:val="20"/>
                <w:szCs w:val="20"/>
              </w:rPr>
              <w:t xml:space="preserve">2/17.  </w:t>
            </w:r>
          </w:p>
          <w:p w:rsidR="00CC613D" w:rsidRDefault="00CC613D" w:rsidP="00B12EC9">
            <w:pPr>
              <w:rPr>
                <w:sz w:val="20"/>
                <w:szCs w:val="20"/>
              </w:rPr>
            </w:pPr>
          </w:p>
          <w:p w:rsidR="00B12EC9" w:rsidRPr="00396CF9" w:rsidRDefault="005E4CAC" w:rsidP="00B12EC9">
            <w:pPr>
              <w:rPr>
                <w:sz w:val="20"/>
                <w:szCs w:val="20"/>
              </w:rPr>
            </w:pPr>
            <w:r>
              <w:rPr>
                <w:sz w:val="20"/>
                <w:szCs w:val="20"/>
              </w:rPr>
              <w:t>Work to be completed by 06/3</w:t>
            </w:r>
            <w:r w:rsidR="00CC613D">
              <w:rPr>
                <w:sz w:val="20"/>
                <w:szCs w:val="20"/>
              </w:rPr>
              <w:t>0/17.</w:t>
            </w:r>
          </w:p>
        </w:tc>
      </w:tr>
      <w:tr w:rsidR="00B12EC9" w:rsidRPr="00396CF9" w:rsidTr="007D18D8">
        <w:tc>
          <w:tcPr>
            <w:tcW w:w="2340" w:type="dxa"/>
          </w:tcPr>
          <w:p w:rsidR="00B12EC9" w:rsidRPr="00396CF9" w:rsidRDefault="00396CF9" w:rsidP="00B12EC9">
            <w:pPr>
              <w:rPr>
                <w:sz w:val="20"/>
                <w:szCs w:val="20"/>
              </w:rPr>
            </w:pPr>
            <w:proofErr w:type="spellStart"/>
            <w:r w:rsidRPr="00396CF9">
              <w:rPr>
                <w:sz w:val="20"/>
                <w:szCs w:val="20"/>
              </w:rPr>
              <w:t>Nonsuch</w:t>
            </w:r>
            <w:proofErr w:type="spellEnd"/>
            <w:r w:rsidRPr="00396CF9">
              <w:rPr>
                <w:sz w:val="20"/>
                <w:szCs w:val="20"/>
              </w:rPr>
              <w:t xml:space="preserve"> buildings / equipment</w:t>
            </w:r>
          </w:p>
        </w:tc>
        <w:tc>
          <w:tcPr>
            <w:tcW w:w="3420" w:type="dxa"/>
          </w:tcPr>
          <w:p w:rsidR="00B12EC9" w:rsidRPr="00396CF9" w:rsidRDefault="005E4CAC" w:rsidP="00B12EC9">
            <w:pPr>
              <w:rPr>
                <w:sz w:val="20"/>
                <w:szCs w:val="20"/>
              </w:rPr>
            </w:pPr>
            <w:r>
              <w:rPr>
                <w:sz w:val="20"/>
                <w:szCs w:val="20"/>
              </w:rPr>
              <w:t>Determine status of remaining buildings / equipment on location</w:t>
            </w:r>
          </w:p>
        </w:tc>
        <w:tc>
          <w:tcPr>
            <w:tcW w:w="5220" w:type="dxa"/>
          </w:tcPr>
          <w:p w:rsidR="00B12EC9" w:rsidRPr="00396CF9" w:rsidRDefault="007D18D8" w:rsidP="00B12EC9">
            <w:pPr>
              <w:rPr>
                <w:sz w:val="20"/>
                <w:szCs w:val="20"/>
              </w:rPr>
            </w:pPr>
            <w:r>
              <w:rPr>
                <w:sz w:val="20"/>
                <w:szCs w:val="20"/>
              </w:rPr>
              <w:t xml:space="preserve">The metering shed and related equipment in the photos attached to inspection report do not belong to TEP – they are owned by </w:t>
            </w:r>
            <w:proofErr w:type="spellStart"/>
            <w:r>
              <w:rPr>
                <w:sz w:val="20"/>
                <w:szCs w:val="20"/>
              </w:rPr>
              <w:t>Nonsuch</w:t>
            </w:r>
            <w:proofErr w:type="spellEnd"/>
            <w:r>
              <w:rPr>
                <w:sz w:val="20"/>
                <w:szCs w:val="20"/>
              </w:rPr>
              <w:t xml:space="preserve">.  These facilities are in the pipeline right-of-way and is where </w:t>
            </w:r>
            <w:proofErr w:type="spellStart"/>
            <w:r>
              <w:rPr>
                <w:sz w:val="20"/>
                <w:szCs w:val="20"/>
              </w:rPr>
              <w:t>Nonsuch</w:t>
            </w:r>
            <w:proofErr w:type="spellEnd"/>
            <w:r>
              <w:rPr>
                <w:sz w:val="20"/>
                <w:szCs w:val="20"/>
              </w:rPr>
              <w:t xml:space="preserve"> meters and ties</w:t>
            </w:r>
            <w:r w:rsidR="005E4CAC">
              <w:rPr>
                <w:sz w:val="20"/>
                <w:szCs w:val="20"/>
              </w:rPr>
              <w:t>-in</w:t>
            </w:r>
            <w:r>
              <w:rPr>
                <w:sz w:val="20"/>
                <w:szCs w:val="20"/>
              </w:rPr>
              <w:t xml:space="preserve"> their gas for delivery and sale</w:t>
            </w:r>
            <w:r w:rsidR="005E4CAC">
              <w:rPr>
                <w:sz w:val="20"/>
                <w:szCs w:val="20"/>
              </w:rPr>
              <w:t>s.  COGCC will need to contact</w:t>
            </w:r>
            <w:r>
              <w:rPr>
                <w:sz w:val="20"/>
                <w:szCs w:val="20"/>
              </w:rPr>
              <w:t xml:space="preserve"> </w:t>
            </w:r>
            <w:proofErr w:type="spellStart"/>
            <w:r>
              <w:rPr>
                <w:sz w:val="20"/>
                <w:szCs w:val="20"/>
              </w:rPr>
              <w:t>Nonsuch</w:t>
            </w:r>
            <w:proofErr w:type="spellEnd"/>
            <w:r>
              <w:rPr>
                <w:sz w:val="20"/>
                <w:szCs w:val="20"/>
              </w:rPr>
              <w:t xml:space="preserve"> to add</w:t>
            </w:r>
            <w:r w:rsidR="005E4CAC">
              <w:rPr>
                <w:sz w:val="20"/>
                <w:szCs w:val="20"/>
              </w:rPr>
              <w:t>ress any issues or concerns related to</w:t>
            </w:r>
            <w:r>
              <w:rPr>
                <w:sz w:val="20"/>
                <w:szCs w:val="20"/>
              </w:rPr>
              <w:t xml:space="preserve"> these facilities. </w:t>
            </w:r>
          </w:p>
        </w:tc>
        <w:tc>
          <w:tcPr>
            <w:tcW w:w="2790" w:type="dxa"/>
          </w:tcPr>
          <w:p w:rsidR="00B27EC7" w:rsidRDefault="00B27EC7" w:rsidP="00B12EC9">
            <w:pPr>
              <w:rPr>
                <w:sz w:val="20"/>
                <w:szCs w:val="20"/>
              </w:rPr>
            </w:pPr>
          </w:p>
          <w:p w:rsidR="00B12EC9" w:rsidRPr="00396CF9" w:rsidRDefault="005E4CAC" w:rsidP="00B12EC9">
            <w:pPr>
              <w:rPr>
                <w:sz w:val="20"/>
                <w:szCs w:val="20"/>
              </w:rPr>
            </w:pPr>
            <w:bookmarkStart w:id="0" w:name="_GoBack"/>
            <w:bookmarkEnd w:id="0"/>
            <w:r>
              <w:rPr>
                <w:sz w:val="20"/>
                <w:szCs w:val="20"/>
              </w:rPr>
              <w:t>No TEP action</w:t>
            </w:r>
          </w:p>
        </w:tc>
      </w:tr>
      <w:tr w:rsidR="00B12EC9" w:rsidRPr="00396CF9" w:rsidTr="007D18D8">
        <w:tc>
          <w:tcPr>
            <w:tcW w:w="2340" w:type="dxa"/>
          </w:tcPr>
          <w:p w:rsidR="00B12EC9" w:rsidRPr="00396CF9" w:rsidRDefault="00117C2E" w:rsidP="00B12EC9">
            <w:pPr>
              <w:rPr>
                <w:sz w:val="20"/>
                <w:szCs w:val="20"/>
              </w:rPr>
            </w:pPr>
            <w:r>
              <w:rPr>
                <w:sz w:val="20"/>
                <w:szCs w:val="20"/>
              </w:rPr>
              <w:t>Large pit next to location</w:t>
            </w:r>
          </w:p>
        </w:tc>
        <w:tc>
          <w:tcPr>
            <w:tcW w:w="3420" w:type="dxa"/>
          </w:tcPr>
          <w:p w:rsidR="00B12EC9" w:rsidRPr="00396CF9" w:rsidRDefault="007D18D8" w:rsidP="00B12EC9">
            <w:pPr>
              <w:rPr>
                <w:sz w:val="20"/>
                <w:szCs w:val="20"/>
              </w:rPr>
            </w:pPr>
            <w:r>
              <w:rPr>
                <w:sz w:val="20"/>
                <w:szCs w:val="20"/>
              </w:rPr>
              <w:t xml:space="preserve">Identify large pit north of the </w:t>
            </w:r>
            <w:proofErr w:type="gramStart"/>
            <w:r>
              <w:rPr>
                <w:sz w:val="20"/>
                <w:szCs w:val="20"/>
              </w:rPr>
              <w:t>well</w:t>
            </w:r>
            <w:proofErr w:type="gramEnd"/>
            <w:r>
              <w:rPr>
                <w:sz w:val="20"/>
                <w:szCs w:val="20"/>
              </w:rPr>
              <w:t xml:space="preserve"> head.  Close pit or provide documentation that determines it is not related to well.</w:t>
            </w:r>
          </w:p>
        </w:tc>
        <w:tc>
          <w:tcPr>
            <w:tcW w:w="5220" w:type="dxa"/>
          </w:tcPr>
          <w:p w:rsidR="00B12EC9" w:rsidRPr="00396CF9" w:rsidRDefault="007D18D8" w:rsidP="00B12EC9">
            <w:pPr>
              <w:rPr>
                <w:sz w:val="20"/>
                <w:szCs w:val="20"/>
              </w:rPr>
            </w:pPr>
            <w:r>
              <w:rPr>
                <w:sz w:val="20"/>
                <w:szCs w:val="20"/>
              </w:rPr>
              <w:t xml:space="preserve">This is a fresh water pit that was constructed in 2007.  See attached documentation from Office of the Colorado State Engineer documenting that this is a fresh water pit.  The pit has never been used for produced water storage, and is not regulated by COGCC rules.  TEP wishes to keep this pit open in anticipation of potential future needs.  However, TEP agrees that the liner is in a state of disrepair and will </w:t>
            </w:r>
            <w:r w:rsidR="006A1B5C">
              <w:rPr>
                <w:sz w:val="20"/>
                <w:szCs w:val="20"/>
              </w:rPr>
              <w:t>remove or repair the liner and clean location up to improve the overall appearance of the s</w:t>
            </w:r>
            <w:r w:rsidR="00117C2E">
              <w:rPr>
                <w:sz w:val="20"/>
                <w:szCs w:val="20"/>
              </w:rPr>
              <w:t>ite, and to prevent loose liner material from blowing off site.</w:t>
            </w:r>
          </w:p>
        </w:tc>
        <w:tc>
          <w:tcPr>
            <w:tcW w:w="2790" w:type="dxa"/>
          </w:tcPr>
          <w:p w:rsidR="00B12EC9" w:rsidRDefault="005E4CAC" w:rsidP="00B12EC9">
            <w:pPr>
              <w:rPr>
                <w:sz w:val="20"/>
                <w:szCs w:val="20"/>
              </w:rPr>
            </w:pPr>
            <w:r>
              <w:rPr>
                <w:sz w:val="20"/>
                <w:szCs w:val="20"/>
              </w:rPr>
              <w:t>Line</w:t>
            </w:r>
            <w:r w:rsidR="00142659">
              <w:rPr>
                <w:sz w:val="20"/>
                <w:szCs w:val="20"/>
              </w:rPr>
              <w:t>r repair/</w:t>
            </w:r>
            <w:r>
              <w:rPr>
                <w:sz w:val="20"/>
                <w:szCs w:val="20"/>
              </w:rPr>
              <w:t>removal</w:t>
            </w:r>
            <w:r w:rsidR="00142659">
              <w:rPr>
                <w:sz w:val="20"/>
                <w:szCs w:val="20"/>
              </w:rPr>
              <w:t>,</w:t>
            </w:r>
            <w:r>
              <w:rPr>
                <w:sz w:val="20"/>
                <w:szCs w:val="20"/>
              </w:rPr>
              <w:t xml:space="preserve"> and site clean up to be performed</w:t>
            </w:r>
            <w:r w:rsidR="006A1B5C">
              <w:rPr>
                <w:sz w:val="20"/>
                <w:szCs w:val="20"/>
              </w:rPr>
              <w:t xml:space="preserve"> </w:t>
            </w:r>
            <w:r>
              <w:rPr>
                <w:sz w:val="20"/>
                <w:szCs w:val="20"/>
              </w:rPr>
              <w:t xml:space="preserve">during reclamation and will completed </w:t>
            </w:r>
            <w:r w:rsidR="006A1B5C">
              <w:rPr>
                <w:sz w:val="20"/>
                <w:szCs w:val="20"/>
              </w:rPr>
              <w:t>by 06/10/17.</w:t>
            </w:r>
          </w:p>
          <w:p w:rsidR="00142659" w:rsidRDefault="00142659" w:rsidP="00B12EC9">
            <w:pPr>
              <w:rPr>
                <w:sz w:val="20"/>
                <w:szCs w:val="20"/>
              </w:rPr>
            </w:pPr>
          </w:p>
          <w:p w:rsidR="00142659" w:rsidRPr="00396CF9" w:rsidRDefault="00142659" w:rsidP="00B12EC9">
            <w:pPr>
              <w:rPr>
                <w:sz w:val="20"/>
                <w:szCs w:val="20"/>
              </w:rPr>
            </w:pPr>
            <w:r>
              <w:rPr>
                <w:sz w:val="20"/>
                <w:szCs w:val="20"/>
              </w:rPr>
              <w:t xml:space="preserve">Documentation from Colorado State Engineer’s Office documenting use of pond for fresh water </w:t>
            </w:r>
            <w:r w:rsidR="009A51CB">
              <w:rPr>
                <w:sz w:val="20"/>
                <w:szCs w:val="20"/>
              </w:rPr>
              <w:t xml:space="preserve">storage </w:t>
            </w:r>
            <w:r>
              <w:rPr>
                <w:sz w:val="20"/>
                <w:szCs w:val="20"/>
              </w:rPr>
              <w:t>to be sent to Lou Colby by 05/02/17.</w:t>
            </w:r>
          </w:p>
        </w:tc>
      </w:tr>
      <w:tr w:rsidR="00B12EC9" w:rsidRPr="00396CF9" w:rsidTr="007D18D8">
        <w:tc>
          <w:tcPr>
            <w:tcW w:w="2340" w:type="dxa"/>
          </w:tcPr>
          <w:p w:rsidR="00B12EC9" w:rsidRPr="00396CF9" w:rsidRDefault="00396CF9" w:rsidP="00B12EC9">
            <w:pPr>
              <w:rPr>
                <w:sz w:val="20"/>
                <w:szCs w:val="20"/>
              </w:rPr>
            </w:pPr>
            <w:r>
              <w:rPr>
                <w:sz w:val="20"/>
                <w:szCs w:val="20"/>
              </w:rPr>
              <w:t>Noxious weed control</w:t>
            </w:r>
          </w:p>
        </w:tc>
        <w:tc>
          <w:tcPr>
            <w:tcW w:w="3420" w:type="dxa"/>
          </w:tcPr>
          <w:p w:rsidR="00B12EC9" w:rsidRPr="00396CF9" w:rsidRDefault="00142659" w:rsidP="00B12EC9">
            <w:pPr>
              <w:rPr>
                <w:sz w:val="20"/>
                <w:szCs w:val="20"/>
              </w:rPr>
            </w:pPr>
            <w:r>
              <w:rPr>
                <w:sz w:val="20"/>
                <w:szCs w:val="20"/>
              </w:rPr>
              <w:t xml:space="preserve">COGCC recommends controlling </w:t>
            </w:r>
            <w:proofErr w:type="spellStart"/>
            <w:r w:rsidR="00117C2E">
              <w:rPr>
                <w:sz w:val="20"/>
                <w:szCs w:val="20"/>
              </w:rPr>
              <w:t>Houndstongue</w:t>
            </w:r>
            <w:proofErr w:type="spellEnd"/>
            <w:r w:rsidR="00117C2E">
              <w:rPr>
                <w:sz w:val="20"/>
                <w:szCs w:val="20"/>
              </w:rPr>
              <w:t xml:space="preserve"> and </w:t>
            </w:r>
            <w:r>
              <w:rPr>
                <w:sz w:val="20"/>
                <w:szCs w:val="20"/>
              </w:rPr>
              <w:t xml:space="preserve">various </w:t>
            </w:r>
            <w:r w:rsidR="00117C2E">
              <w:rPr>
                <w:sz w:val="20"/>
                <w:szCs w:val="20"/>
              </w:rPr>
              <w:t>thistle</w:t>
            </w:r>
            <w:r>
              <w:rPr>
                <w:sz w:val="20"/>
                <w:szCs w:val="20"/>
              </w:rPr>
              <w:t>s</w:t>
            </w:r>
            <w:r w:rsidR="00117C2E">
              <w:rPr>
                <w:sz w:val="20"/>
                <w:szCs w:val="20"/>
              </w:rPr>
              <w:t xml:space="preserve"> noted around </w:t>
            </w:r>
            <w:r>
              <w:rPr>
                <w:sz w:val="20"/>
                <w:szCs w:val="20"/>
              </w:rPr>
              <w:t xml:space="preserve">perimeter of </w:t>
            </w:r>
            <w:r w:rsidR="00117C2E">
              <w:rPr>
                <w:sz w:val="20"/>
                <w:szCs w:val="20"/>
              </w:rPr>
              <w:t xml:space="preserve">large </w:t>
            </w:r>
            <w:r>
              <w:rPr>
                <w:sz w:val="20"/>
                <w:szCs w:val="20"/>
              </w:rPr>
              <w:t xml:space="preserve">fresh water </w:t>
            </w:r>
            <w:r w:rsidR="00117C2E">
              <w:rPr>
                <w:sz w:val="20"/>
                <w:szCs w:val="20"/>
              </w:rPr>
              <w:t>p</w:t>
            </w:r>
            <w:r>
              <w:rPr>
                <w:sz w:val="20"/>
                <w:szCs w:val="20"/>
              </w:rPr>
              <w:t xml:space="preserve">ond </w:t>
            </w:r>
          </w:p>
        </w:tc>
        <w:tc>
          <w:tcPr>
            <w:tcW w:w="5220" w:type="dxa"/>
          </w:tcPr>
          <w:p w:rsidR="00B12EC9" w:rsidRPr="00396CF9" w:rsidRDefault="00117C2E" w:rsidP="00B12EC9">
            <w:pPr>
              <w:rPr>
                <w:sz w:val="20"/>
                <w:szCs w:val="20"/>
              </w:rPr>
            </w:pPr>
            <w:r>
              <w:rPr>
                <w:sz w:val="20"/>
                <w:szCs w:val="20"/>
              </w:rPr>
              <w:t>Agreed.  Although TEP actively controls noxious weeds at the MV 1-23 location, we should</w:t>
            </w:r>
            <w:r w:rsidR="00142659">
              <w:rPr>
                <w:sz w:val="20"/>
                <w:szCs w:val="20"/>
              </w:rPr>
              <w:t xml:space="preserve"> also</w:t>
            </w:r>
            <w:r>
              <w:rPr>
                <w:sz w:val="20"/>
                <w:szCs w:val="20"/>
              </w:rPr>
              <w:t xml:space="preserve"> spray / control any noxious weeds found growing around the fresh water pond to prevent further spreading.</w:t>
            </w:r>
          </w:p>
        </w:tc>
        <w:tc>
          <w:tcPr>
            <w:tcW w:w="2790" w:type="dxa"/>
          </w:tcPr>
          <w:p w:rsidR="00B12EC9" w:rsidRPr="00396CF9" w:rsidRDefault="00117C2E" w:rsidP="00B12EC9">
            <w:pPr>
              <w:rPr>
                <w:sz w:val="20"/>
                <w:szCs w:val="20"/>
              </w:rPr>
            </w:pPr>
            <w:r>
              <w:rPr>
                <w:sz w:val="20"/>
                <w:szCs w:val="20"/>
              </w:rPr>
              <w:t xml:space="preserve">TEP will add </w:t>
            </w:r>
            <w:r w:rsidR="00142659">
              <w:rPr>
                <w:sz w:val="20"/>
                <w:szCs w:val="20"/>
              </w:rPr>
              <w:t xml:space="preserve">the </w:t>
            </w:r>
            <w:r>
              <w:rPr>
                <w:sz w:val="20"/>
                <w:szCs w:val="20"/>
              </w:rPr>
              <w:t xml:space="preserve">fresh water pond to </w:t>
            </w:r>
            <w:r w:rsidR="00142659">
              <w:rPr>
                <w:sz w:val="20"/>
                <w:szCs w:val="20"/>
              </w:rPr>
              <w:t xml:space="preserve">the </w:t>
            </w:r>
            <w:r>
              <w:rPr>
                <w:sz w:val="20"/>
                <w:szCs w:val="20"/>
              </w:rPr>
              <w:t>list of locations to be spra</w:t>
            </w:r>
            <w:r w:rsidR="00142659">
              <w:rPr>
                <w:sz w:val="20"/>
                <w:szCs w:val="20"/>
              </w:rPr>
              <w:t>yed for noxious weed control.  The f</w:t>
            </w:r>
            <w:r>
              <w:rPr>
                <w:sz w:val="20"/>
                <w:szCs w:val="20"/>
              </w:rPr>
              <w:t xml:space="preserve">resh water pond location will be sprayed by 06/16/17. </w:t>
            </w:r>
          </w:p>
        </w:tc>
      </w:tr>
    </w:tbl>
    <w:p w:rsidR="00B12EC9" w:rsidRPr="00396CF9" w:rsidRDefault="00B12EC9" w:rsidP="00B12EC9">
      <w:pPr>
        <w:rPr>
          <w:sz w:val="20"/>
          <w:szCs w:val="20"/>
        </w:rPr>
      </w:pPr>
    </w:p>
    <w:sectPr w:rsidR="00B12EC9" w:rsidRPr="00396CF9" w:rsidSect="00117C2E">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3D"/>
    <w:rsid w:val="00117C2E"/>
    <w:rsid w:val="00142659"/>
    <w:rsid w:val="001B753D"/>
    <w:rsid w:val="00396CF9"/>
    <w:rsid w:val="005130C9"/>
    <w:rsid w:val="005E4CAC"/>
    <w:rsid w:val="006A1B5C"/>
    <w:rsid w:val="007D18D8"/>
    <w:rsid w:val="008F643E"/>
    <w:rsid w:val="009A51CB"/>
    <w:rsid w:val="00AB53CD"/>
    <w:rsid w:val="00B12EC9"/>
    <w:rsid w:val="00B27EC7"/>
    <w:rsid w:val="00CC613D"/>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523C"/>
  <w15:chartTrackingRefBased/>
  <w15:docId w15:val="{96F3FD27-4B24-4121-9FF0-1DCD65AD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Gardner</dc:creator>
  <cp:keywords/>
  <dc:description/>
  <cp:lastModifiedBy>Mike Gardner</cp:lastModifiedBy>
  <cp:revision>2</cp:revision>
  <dcterms:created xsi:type="dcterms:W3CDTF">2017-05-01T21:30:00Z</dcterms:created>
  <dcterms:modified xsi:type="dcterms:W3CDTF">2017-05-01T21:30:00Z</dcterms:modified>
</cp:coreProperties>
</file>