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4D" w:rsidRPr="0023000C" w:rsidRDefault="0018784D" w:rsidP="0018784D">
      <w:pPr>
        <w:jc w:val="both"/>
        <w:rPr>
          <w:rFonts w:ascii="Trebuchet MS" w:eastAsia="Times New Roman" w:hAnsi="Trebuchet MS"/>
        </w:rPr>
      </w:pPr>
      <w:r>
        <w:rPr>
          <w:rFonts w:ascii="Trebuchet MS" w:eastAsia="Times New Roman" w:hAnsi="Trebuchet MS"/>
        </w:rPr>
        <w:t>September 22</w:t>
      </w:r>
      <w:r w:rsidRPr="005D7E61">
        <w:rPr>
          <w:rFonts w:ascii="Trebuchet MS" w:eastAsia="Times New Roman" w:hAnsi="Trebuchet MS"/>
          <w:vertAlign w:val="superscript"/>
        </w:rPr>
        <w:t>nd</w:t>
      </w:r>
      <w:r>
        <w:rPr>
          <w:rFonts w:ascii="Trebuchet MS" w:eastAsia="Times New Roman" w:hAnsi="Trebuchet MS"/>
        </w:rPr>
        <w:t>, 2014</w:t>
      </w:r>
    </w:p>
    <w:p w:rsidR="0018784D" w:rsidRPr="0023000C" w:rsidRDefault="0018784D" w:rsidP="0018784D">
      <w:pPr>
        <w:jc w:val="both"/>
        <w:rPr>
          <w:rFonts w:ascii="Trebuchet MS" w:eastAsia="Calibri" w:hAnsi="Trebuchet MS"/>
        </w:rPr>
      </w:pPr>
    </w:p>
    <w:p w:rsidR="007D56F4" w:rsidRPr="00CE7A44" w:rsidRDefault="007D56F4" w:rsidP="007D56F4">
      <w:pPr>
        <w:jc w:val="both"/>
        <w:rPr>
          <w:rFonts w:ascii="Trebuchet MS" w:eastAsia="Calibri" w:hAnsi="Trebuchet MS"/>
        </w:rPr>
      </w:pPr>
      <w:r w:rsidRPr="000B4544">
        <w:rPr>
          <w:rFonts w:ascii="Trebuchet MS" w:eastAsia="Calibri" w:hAnsi="Trebuchet MS"/>
          <w:noProof/>
        </w:rPr>
        <w:t>60890</w:t>
      </w:r>
      <w:r w:rsidRPr="00CE7A44">
        <w:rPr>
          <w:rFonts w:ascii="Trebuchet MS" w:eastAsia="Calibri" w:hAnsi="Trebuchet MS"/>
        </w:rPr>
        <w:t xml:space="preserve"> </w:t>
      </w:r>
      <w:r w:rsidRPr="000B4544">
        <w:rPr>
          <w:rFonts w:ascii="Trebuchet MS" w:eastAsia="Calibri" w:hAnsi="Trebuchet MS"/>
          <w:noProof/>
        </w:rPr>
        <w:t>MOUNTAIN PETROLEUM CORP</w:t>
      </w:r>
      <w:r w:rsidRPr="00CE7A44">
        <w:rPr>
          <w:rFonts w:ascii="Trebuchet MS" w:eastAsia="Calibri" w:hAnsi="Trebuchet MS"/>
        </w:rPr>
        <w:t xml:space="preserve"> </w:t>
      </w:r>
    </w:p>
    <w:p w:rsidR="007D56F4" w:rsidRPr="00CE7A44" w:rsidRDefault="007D56F4" w:rsidP="007D56F4">
      <w:pPr>
        <w:jc w:val="both"/>
        <w:rPr>
          <w:rFonts w:ascii="Trebuchet MS" w:eastAsia="Calibri" w:hAnsi="Trebuchet MS"/>
        </w:rPr>
      </w:pPr>
      <w:r w:rsidRPr="000B4544">
        <w:rPr>
          <w:rFonts w:ascii="Trebuchet MS" w:eastAsia="Calibri" w:hAnsi="Trebuchet MS"/>
          <w:noProof/>
        </w:rPr>
        <w:t>Steve Matre</w:t>
      </w:r>
      <w:r w:rsidRPr="00CE7A44">
        <w:rPr>
          <w:rFonts w:ascii="Trebuchet MS" w:eastAsia="Calibri" w:hAnsi="Trebuchet MS"/>
        </w:rPr>
        <w:t xml:space="preserve">, </w:t>
      </w:r>
      <w:r w:rsidR="00735AB7">
        <w:rPr>
          <w:rFonts w:ascii="Trebuchet MS" w:eastAsia="Calibri" w:hAnsi="Trebuchet MS"/>
          <w:noProof/>
        </w:rPr>
        <w:t>V</w:t>
      </w:r>
      <w:r w:rsidRPr="000B4544">
        <w:rPr>
          <w:rFonts w:ascii="Trebuchet MS" w:eastAsia="Calibri" w:hAnsi="Trebuchet MS"/>
          <w:noProof/>
        </w:rPr>
        <w:t>ice President</w:t>
      </w:r>
    </w:p>
    <w:p w:rsidR="007D56F4" w:rsidRPr="00CE7A44" w:rsidRDefault="00735AB7" w:rsidP="007D56F4">
      <w:pPr>
        <w:jc w:val="both"/>
        <w:rPr>
          <w:rFonts w:ascii="Trebuchet MS" w:eastAsia="Calibri" w:hAnsi="Trebuchet MS"/>
        </w:rPr>
      </w:pPr>
      <w:r>
        <w:rPr>
          <w:rFonts w:ascii="Trebuchet MS" w:eastAsia="Calibri" w:hAnsi="Trebuchet MS"/>
          <w:noProof/>
        </w:rPr>
        <w:t>1801 Br</w:t>
      </w:r>
      <w:r w:rsidR="007D56F4" w:rsidRPr="000B4544">
        <w:rPr>
          <w:rFonts w:ascii="Trebuchet MS" w:eastAsia="Calibri" w:hAnsi="Trebuchet MS"/>
          <w:noProof/>
        </w:rPr>
        <w:t>o</w:t>
      </w:r>
      <w:r>
        <w:rPr>
          <w:rFonts w:ascii="Trebuchet MS" w:eastAsia="Calibri" w:hAnsi="Trebuchet MS"/>
          <w:noProof/>
        </w:rPr>
        <w:t>a</w:t>
      </w:r>
      <w:r w:rsidR="007D56F4" w:rsidRPr="000B4544">
        <w:rPr>
          <w:rFonts w:ascii="Trebuchet MS" w:eastAsia="Calibri" w:hAnsi="Trebuchet MS"/>
          <w:noProof/>
        </w:rPr>
        <w:t>dway</w:t>
      </w:r>
      <w:r w:rsidR="007D56F4">
        <w:rPr>
          <w:rFonts w:ascii="Trebuchet MS" w:eastAsia="Calibri" w:hAnsi="Trebuchet MS"/>
        </w:rPr>
        <w:t xml:space="preserve"> </w:t>
      </w:r>
      <w:r>
        <w:rPr>
          <w:rFonts w:ascii="Trebuchet MS" w:eastAsia="Calibri" w:hAnsi="Trebuchet MS"/>
          <w:noProof/>
        </w:rPr>
        <w:t>Ste</w:t>
      </w:r>
      <w:r w:rsidR="007D56F4" w:rsidRPr="000B4544">
        <w:rPr>
          <w:rFonts w:ascii="Trebuchet MS" w:eastAsia="Calibri" w:hAnsi="Trebuchet MS"/>
          <w:noProof/>
        </w:rPr>
        <w:t>. 1250</w:t>
      </w:r>
      <w:r w:rsidR="007D56F4" w:rsidRPr="00CE7A44">
        <w:rPr>
          <w:rFonts w:ascii="Trebuchet MS" w:eastAsia="Calibri" w:hAnsi="Trebuchet MS"/>
        </w:rPr>
        <w:t xml:space="preserve">, </w:t>
      </w:r>
      <w:r w:rsidR="007D56F4" w:rsidRPr="000B4544">
        <w:rPr>
          <w:rFonts w:ascii="Trebuchet MS" w:eastAsia="Calibri" w:hAnsi="Trebuchet MS"/>
          <w:noProof/>
        </w:rPr>
        <w:t>Denver</w:t>
      </w:r>
      <w:r w:rsidR="007D56F4" w:rsidRPr="00CE7A44">
        <w:rPr>
          <w:rFonts w:ascii="Trebuchet MS" w:eastAsia="Calibri" w:hAnsi="Trebuchet MS"/>
        </w:rPr>
        <w:t xml:space="preserve">, </w:t>
      </w:r>
      <w:r w:rsidR="007D56F4" w:rsidRPr="000B4544">
        <w:rPr>
          <w:rFonts w:ascii="Trebuchet MS" w:eastAsia="Calibri" w:hAnsi="Trebuchet MS"/>
          <w:noProof/>
        </w:rPr>
        <w:t>CO</w:t>
      </w:r>
      <w:r w:rsidR="007D56F4" w:rsidRPr="00CE7A44">
        <w:rPr>
          <w:rFonts w:ascii="Trebuchet MS" w:eastAsia="Calibri" w:hAnsi="Trebuchet MS"/>
        </w:rPr>
        <w:t xml:space="preserve">. </w:t>
      </w:r>
      <w:r w:rsidR="007D56F4" w:rsidRPr="000B4544">
        <w:rPr>
          <w:rFonts w:ascii="Trebuchet MS" w:eastAsia="Calibri" w:hAnsi="Trebuchet MS"/>
          <w:noProof/>
        </w:rPr>
        <w:t>80202</w:t>
      </w:r>
    </w:p>
    <w:p w:rsidR="007D56F4" w:rsidRPr="00CE7A44" w:rsidRDefault="007D56F4" w:rsidP="007D56F4">
      <w:pPr>
        <w:jc w:val="both"/>
        <w:rPr>
          <w:rFonts w:ascii="Trebuchet MS" w:eastAsia="Calibri" w:hAnsi="Trebuchet MS"/>
        </w:rPr>
      </w:pPr>
      <w:r w:rsidRPr="000B4544">
        <w:rPr>
          <w:rFonts w:ascii="Trebuchet MS" w:eastAsia="Calibri" w:hAnsi="Trebuchet MS"/>
          <w:noProof/>
        </w:rPr>
        <w:t>matresr@qwestoffice.net</w:t>
      </w:r>
    </w:p>
    <w:p w:rsidR="008515C9" w:rsidRPr="00CE7A44" w:rsidRDefault="008515C9" w:rsidP="00416532">
      <w:pPr>
        <w:jc w:val="both"/>
        <w:rPr>
          <w:rFonts w:ascii="Trebuchet MS" w:eastAsia="Calibri" w:hAnsi="Trebuchet MS"/>
        </w:rPr>
      </w:pPr>
    </w:p>
    <w:p w:rsidR="0018784D" w:rsidRDefault="0018784D" w:rsidP="0018784D">
      <w:pPr>
        <w:jc w:val="both"/>
        <w:rPr>
          <w:rFonts w:ascii="Trebuchet MS" w:eastAsia="Calibri" w:hAnsi="Trebuchet MS"/>
        </w:rPr>
      </w:pPr>
    </w:p>
    <w:p w:rsidR="0018784D" w:rsidRPr="0023000C" w:rsidRDefault="0018784D" w:rsidP="0018784D">
      <w:pPr>
        <w:jc w:val="both"/>
        <w:rPr>
          <w:rFonts w:ascii="Trebuchet MS" w:eastAsia="Calibri" w:hAnsi="Trebuchet MS"/>
        </w:rPr>
      </w:pPr>
      <w:r>
        <w:rPr>
          <w:rFonts w:ascii="Trebuchet MS" w:eastAsia="Calibri" w:hAnsi="Trebuchet MS"/>
        </w:rPr>
        <w:t>RE:  Wells Out of Compliance</w:t>
      </w:r>
    </w:p>
    <w:p w:rsidR="0018784D" w:rsidRPr="0023000C" w:rsidRDefault="0018784D" w:rsidP="0018784D">
      <w:pPr>
        <w:rPr>
          <w:rFonts w:ascii="Trebuchet MS" w:eastAsia="Times New Roman" w:hAnsi="Trebuchet MS"/>
          <w:b/>
          <w:szCs w:val="20"/>
        </w:rPr>
      </w:pPr>
    </w:p>
    <w:p w:rsidR="0018784D" w:rsidRPr="0023000C" w:rsidRDefault="0018784D" w:rsidP="0018784D">
      <w:pPr>
        <w:rPr>
          <w:rFonts w:ascii="Trebuchet MS" w:eastAsia="Times New Roman" w:hAnsi="Trebuchet MS"/>
          <w:szCs w:val="20"/>
        </w:rPr>
      </w:pPr>
    </w:p>
    <w:p w:rsidR="0018784D" w:rsidRDefault="0018784D" w:rsidP="0018784D">
      <w:pPr>
        <w:jc w:val="both"/>
        <w:rPr>
          <w:rFonts w:ascii="Trebuchet MS" w:eastAsia="Times New Roman" w:hAnsi="Trebuchet MS"/>
          <w:b/>
          <w:szCs w:val="20"/>
        </w:rPr>
      </w:pPr>
      <w:r w:rsidRPr="0023000C">
        <w:rPr>
          <w:rFonts w:ascii="Trebuchet MS" w:eastAsia="Times New Roman" w:hAnsi="Trebuchet MS"/>
          <w:b/>
          <w:szCs w:val="20"/>
        </w:rPr>
        <w:t>This Warning Letter is to inform you that the oil and gas facility or the oil</w:t>
      </w:r>
      <w:r w:rsidR="00735AB7">
        <w:rPr>
          <w:rFonts w:ascii="Trebuchet MS" w:eastAsia="Times New Roman" w:hAnsi="Trebuchet MS"/>
          <w:b/>
          <w:szCs w:val="20"/>
        </w:rPr>
        <w:t xml:space="preserve"> and gas operations listed below</w:t>
      </w:r>
      <w:r w:rsidRPr="0023000C">
        <w:rPr>
          <w:rFonts w:ascii="Trebuchet MS" w:eastAsia="Times New Roman" w:hAnsi="Trebuchet MS"/>
          <w:b/>
          <w:szCs w:val="20"/>
        </w:rPr>
        <w:t xml:space="preserve"> may be in violation of the rules and regulations of the Colorado Oil and Conservation Commission (“COGCC”) and correction action is required.</w:t>
      </w:r>
    </w:p>
    <w:p w:rsidR="00735AB7" w:rsidRDefault="00735AB7" w:rsidP="0018784D">
      <w:pPr>
        <w:jc w:val="both"/>
        <w:rPr>
          <w:rFonts w:ascii="Trebuchet MS" w:eastAsia="Times New Roman" w:hAnsi="Trebuchet MS"/>
          <w:b/>
          <w:szCs w:val="20"/>
        </w:rPr>
      </w:pPr>
    </w:p>
    <w:tbl>
      <w:tblPr>
        <w:tblW w:w="7180" w:type="dxa"/>
        <w:tblInd w:w="94" w:type="dxa"/>
        <w:tblLook w:val="04A0"/>
      </w:tblPr>
      <w:tblGrid>
        <w:gridCol w:w="1420"/>
        <w:gridCol w:w="2440"/>
        <w:gridCol w:w="760"/>
        <w:gridCol w:w="810"/>
        <w:gridCol w:w="460"/>
        <w:gridCol w:w="640"/>
        <w:gridCol w:w="700"/>
      </w:tblGrid>
      <w:tr w:rsidR="00735AB7" w:rsidRPr="00D65DF1" w:rsidTr="00735AB7">
        <w:trPr>
          <w:trHeight w:val="300"/>
        </w:trPr>
        <w:tc>
          <w:tcPr>
            <w:tcW w:w="142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125-08006</w:t>
            </w:r>
          </w:p>
        </w:tc>
        <w:tc>
          <w:tcPr>
            <w:tcW w:w="244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SIMMONS</w:t>
            </w:r>
          </w:p>
        </w:tc>
        <w:tc>
          <w:tcPr>
            <w:tcW w:w="76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5 19</w:t>
            </w:r>
          </w:p>
        </w:tc>
        <w:tc>
          <w:tcPr>
            <w:tcW w:w="76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SWSW</w:t>
            </w:r>
          </w:p>
        </w:tc>
        <w:tc>
          <w:tcPr>
            <w:tcW w:w="46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19</w:t>
            </w:r>
          </w:p>
        </w:tc>
        <w:tc>
          <w:tcPr>
            <w:tcW w:w="64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2S</w:t>
            </w:r>
          </w:p>
        </w:tc>
        <w:tc>
          <w:tcPr>
            <w:tcW w:w="70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43W</w:t>
            </w:r>
          </w:p>
        </w:tc>
      </w:tr>
      <w:tr w:rsidR="00735AB7" w:rsidRPr="00FB0B8F" w:rsidTr="00735AB7">
        <w:trPr>
          <w:trHeight w:val="300"/>
        </w:trPr>
        <w:tc>
          <w:tcPr>
            <w:tcW w:w="142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125-08125</w:t>
            </w:r>
          </w:p>
        </w:tc>
        <w:tc>
          <w:tcPr>
            <w:tcW w:w="244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WHOMBLE</w:t>
            </w:r>
          </w:p>
        </w:tc>
        <w:tc>
          <w:tcPr>
            <w:tcW w:w="76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8 31</w:t>
            </w:r>
          </w:p>
        </w:tc>
        <w:tc>
          <w:tcPr>
            <w:tcW w:w="76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SENW</w:t>
            </w:r>
          </w:p>
        </w:tc>
        <w:tc>
          <w:tcPr>
            <w:tcW w:w="46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31</w:t>
            </w:r>
          </w:p>
        </w:tc>
        <w:tc>
          <w:tcPr>
            <w:tcW w:w="64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2S</w:t>
            </w:r>
          </w:p>
        </w:tc>
        <w:tc>
          <w:tcPr>
            <w:tcW w:w="700" w:type="dxa"/>
            <w:tcBorders>
              <w:top w:val="nil"/>
              <w:left w:val="nil"/>
              <w:bottom w:val="nil"/>
              <w:right w:val="nil"/>
            </w:tcBorders>
            <w:shd w:val="clear" w:color="auto" w:fill="auto"/>
            <w:noWrap/>
            <w:vAlign w:val="bottom"/>
            <w:hideMark/>
          </w:tcPr>
          <w:p w:rsidR="00735AB7" w:rsidRPr="00D65DF1" w:rsidRDefault="00735AB7" w:rsidP="00735AB7">
            <w:pPr>
              <w:rPr>
                <w:rFonts w:ascii="Calibri" w:eastAsia="Times New Roman" w:hAnsi="Calibri"/>
                <w:color w:val="000000"/>
                <w:sz w:val="22"/>
                <w:szCs w:val="22"/>
              </w:rPr>
            </w:pPr>
            <w:r w:rsidRPr="00D65DF1">
              <w:rPr>
                <w:rFonts w:ascii="Calibri" w:eastAsia="Times New Roman" w:hAnsi="Calibri"/>
                <w:color w:val="000000"/>
                <w:sz w:val="22"/>
                <w:szCs w:val="22"/>
              </w:rPr>
              <w:t>43W</w:t>
            </w:r>
          </w:p>
        </w:tc>
      </w:tr>
    </w:tbl>
    <w:p w:rsidR="0018784D" w:rsidRPr="0023000C" w:rsidRDefault="0018784D" w:rsidP="0018784D">
      <w:pPr>
        <w:jc w:val="both"/>
        <w:rPr>
          <w:rFonts w:ascii="Trebuchet MS" w:eastAsia="Times New Roman" w:hAnsi="Trebuchet MS"/>
          <w:b/>
          <w:szCs w:val="20"/>
        </w:rPr>
      </w:pPr>
    </w:p>
    <w:p w:rsidR="0018784D" w:rsidRPr="0023000C" w:rsidRDefault="0018784D" w:rsidP="0018784D">
      <w:pPr>
        <w:jc w:val="both"/>
        <w:rPr>
          <w:rFonts w:ascii="Trebuchet MS" w:eastAsia="Times New Roman" w:hAnsi="Trebuchet MS"/>
          <w:b/>
        </w:rPr>
      </w:pPr>
      <w:r w:rsidRPr="0023000C">
        <w:rPr>
          <w:rFonts w:ascii="Trebuchet MS" w:eastAsia="Times New Roman" w:hAnsi="Trebuchet MS"/>
        </w:rPr>
        <w:t xml:space="preserve">There is reasonable cause to believe that a violation of the Oil and Gas Conservation Act, or of any rule, regulation, or order of the Commission, or of any permit issued by the Commission, has occurred.  The Operator’s compliance with this Warning Letter is required to resolve these alleged violations.  This document requires the Operator to timely respond to the COGCC and to comply with directives as listed by the </w:t>
      </w:r>
      <w:r w:rsidRPr="00735AB7">
        <w:rPr>
          <w:rFonts w:ascii="Trebuchet MS" w:eastAsia="Times New Roman" w:hAnsi="Trebuchet MS"/>
          <w:b/>
          <w:highlight w:val="yellow"/>
        </w:rPr>
        <w:t>Corrective Action Deadline Date.</w:t>
      </w:r>
      <w:r w:rsidRPr="0023000C">
        <w:rPr>
          <w:rFonts w:ascii="Trebuchet MS" w:eastAsia="Times New Roman" w:hAnsi="Trebuchet MS"/>
          <w:b/>
        </w:rPr>
        <w:t xml:space="preserve">  </w:t>
      </w:r>
      <w:r w:rsidRPr="0023000C">
        <w:rPr>
          <w:rFonts w:ascii="Trebuchet MS" w:eastAsia="Times New Roman" w:hAnsi="Trebuchet MS"/>
        </w:rPr>
        <w:t>Failure to do so will result in the issuance of a Notice of Alleged Violation and initiation of enforcement proceedings in which COGCC will seek monetary penalties for the alleged violations pursuant to § 34-60-121, C.R.S. and Rule 523, COGCC Rules of Practice and Procedure, 2 CCR 404-1.</w:t>
      </w:r>
    </w:p>
    <w:p w:rsidR="0018784D" w:rsidRPr="0023000C" w:rsidRDefault="0018784D" w:rsidP="0018784D">
      <w:pPr>
        <w:jc w:val="both"/>
        <w:rPr>
          <w:rFonts w:ascii="Trebuchet MS" w:eastAsia="Times New Roman" w:hAnsi="Trebuchet MS"/>
          <w:b/>
        </w:rPr>
      </w:pPr>
    </w:p>
    <w:p w:rsidR="00476BE4" w:rsidRPr="0023000C" w:rsidRDefault="007D56F4" w:rsidP="00476BE4">
      <w:pPr>
        <w:jc w:val="both"/>
        <w:rPr>
          <w:rFonts w:ascii="Trebuchet MS" w:eastAsia="Times New Roman" w:hAnsi="Trebuchet MS"/>
        </w:rPr>
      </w:pPr>
      <w:r w:rsidRPr="0023000C">
        <w:rPr>
          <w:rFonts w:ascii="Trebuchet MS" w:eastAsia="Times New Roman" w:hAnsi="Trebuchet MS"/>
        </w:rPr>
        <w:t xml:space="preserve">The COGCC requires </w:t>
      </w:r>
      <w:r w:rsidRPr="000B4544">
        <w:rPr>
          <w:rFonts w:ascii="Trebuchet MS" w:eastAsia="Times New Roman" w:hAnsi="Trebuchet MS"/>
          <w:noProof/>
        </w:rPr>
        <w:t>MOUNTAIN PETROLEUM CORP</w:t>
      </w:r>
      <w:r>
        <w:rPr>
          <w:rFonts w:ascii="Trebuchet MS" w:eastAsia="Times New Roman" w:hAnsi="Trebuchet MS"/>
        </w:rPr>
        <w:t xml:space="preserve"> </w:t>
      </w:r>
      <w:r w:rsidR="00476BE4">
        <w:rPr>
          <w:rFonts w:ascii="Trebuchet MS" w:eastAsia="Times New Roman" w:hAnsi="Trebuchet MS"/>
        </w:rPr>
        <w:t xml:space="preserve">(Operator) </w:t>
      </w:r>
      <w:r w:rsidR="00476BE4" w:rsidRPr="0023000C">
        <w:rPr>
          <w:rFonts w:ascii="Trebuchet MS" w:eastAsia="Times New Roman" w:hAnsi="Trebuchet MS"/>
        </w:rPr>
        <w:t>to implement corrective action(s) for the conditions identified below.  The listed well(s) are out of compliance with COGCC Rules 319.b.1, and 319.b.3 and 326.b.1 for Temporary Abandonment (TA) Wells and/or Rule</w:t>
      </w:r>
      <w:r w:rsidR="00D65DF1">
        <w:rPr>
          <w:rFonts w:ascii="Trebuchet MS" w:eastAsia="Times New Roman" w:hAnsi="Trebuchet MS"/>
        </w:rPr>
        <w:t>s</w:t>
      </w:r>
      <w:r w:rsidR="00476BE4" w:rsidRPr="0023000C">
        <w:rPr>
          <w:rFonts w:ascii="Trebuchet MS" w:eastAsia="Times New Roman" w:hAnsi="Trebuchet MS"/>
        </w:rPr>
        <w:t xml:space="preserve"> </w:t>
      </w:r>
      <w:r w:rsidR="00735AB7">
        <w:rPr>
          <w:rFonts w:ascii="Trebuchet MS" w:eastAsia="Times New Roman" w:hAnsi="Trebuchet MS"/>
        </w:rPr>
        <w:t xml:space="preserve">316B and </w:t>
      </w:r>
      <w:r w:rsidR="00476BE4" w:rsidRPr="0023000C">
        <w:rPr>
          <w:rFonts w:ascii="Trebuchet MS" w:eastAsia="Times New Roman" w:hAnsi="Trebuchet MS"/>
        </w:rPr>
        <w:t xml:space="preserve">326.b.1 for Mechanical Integrity Tests (MIT) of Shut-In (SI) Wells. </w:t>
      </w:r>
    </w:p>
    <w:p w:rsidR="0018784D" w:rsidRPr="0023000C" w:rsidRDefault="0018784D" w:rsidP="0018784D">
      <w:pPr>
        <w:jc w:val="both"/>
        <w:rPr>
          <w:rFonts w:ascii="Trebuchet MS" w:eastAsia="Times New Roman" w:hAnsi="Trebuchet MS"/>
        </w:rPr>
      </w:pPr>
    </w:p>
    <w:p w:rsidR="00CE557F" w:rsidRPr="0018784D" w:rsidRDefault="00CE557F" w:rsidP="0018784D">
      <w:pPr>
        <w:pStyle w:val="body"/>
        <w:rPr>
          <w:color w:val="auto"/>
          <w:sz w:val="24"/>
        </w:rPr>
        <w:sectPr w:rsidR="00CE557F" w:rsidRPr="0018784D" w:rsidSect="00BD526D">
          <w:headerReference w:type="default" r:id="rId8"/>
          <w:headerReference w:type="first" r:id="rId9"/>
          <w:footerReference w:type="first" r:id="rId10"/>
          <w:pgSz w:w="12240" w:h="15840"/>
          <w:pgMar w:top="2880" w:right="1008" w:bottom="720" w:left="1080" w:header="634" w:footer="1886" w:gutter="0"/>
          <w:cols w:space="720"/>
          <w:titlePg/>
        </w:sectPr>
      </w:pPr>
    </w:p>
    <w:p w:rsidR="00735AB7" w:rsidRDefault="00735AB7" w:rsidP="00735AB7">
      <w:pPr>
        <w:jc w:val="both"/>
        <w:rPr>
          <w:rFonts w:ascii="Trebuchet MS" w:eastAsia="Times New Roman" w:hAnsi="Trebuchet MS"/>
          <w:u w:val="single"/>
        </w:rPr>
      </w:pPr>
    </w:p>
    <w:p w:rsidR="00735AB7" w:rsidRPr="0023000C" w:rsidRDefault="00735AB7" w:rsidP="00735AB7">
      <w:pPr>
        <w:jc w:val="both"/>
        <w:rPr>
          <w:rFonts w:ascii="Trebuchet MS" w:eastAsia="Times New Roman" w:hAnsi="Trebuchet MS"/>
        </w:rPr>
      </w:pPr>
      <w:r w:rsidRPr="0018784D">
        <w:rPr>
          <w:rFonts w:ascii="Trebuchet MS" w:eastAsia="Times New Roman" w:hAnsi="Trebuchet MS"/>
          <w:u w:val="single"/>
        </w:rPr>
        <w:t>TA Wells</w:t>
      </w:r>
      <w:r w:rsidRPr="0018784D">
        <w:rPr>
          <w:rFonts w:ascii="Trebuchet MS" w:eastAsia="Times New Roman" w:hAnsi="Trebuchet MS"/>
        </w:rPr>
        <w:t>.  Rule 319.b.1 and 319.b.3 require operators to request from the Director continued TA status and to either plug and abandon the well within six months of the well becoming temporarily abandoned or receive approval for the well to remain temporarily abandoned for longer than six months.  Rule 326.b.1 requires that TA wells pass an MIT within thirty (30) days of becoming temporarily abandoned and then at five (5) year intervals after an initial successful MIT</w:t>
      </w:r>
      <w:r w:rsidRPr="00B4772E">
        <w:rPr>
          <w:rFonts w:ascii="Trebuchet MS" w:eastAsia="Times New Roman" w:hAnsi="Trebuchet MS"/>
        </w:rPr>
        <w:t>.</w:t>
      </w:r>
      <w:r w:rsidRPr="00B4772E">
        <w:rPr>
          <w:rFonts w:eastAsia="Times New Roman"/>
        </w:rPr>
        <w:t xml:space="preserve"> </w:t>
      </w:r>
      <w:r w:rsidRPr="00B4772E">
        <w:rPr>
          <w:rFonts w:ascii="Trebuchet MS" w:eastAsia="Times New Roman" w:hAnsi="Trebuchet MS"/>
        </w:rPr>
        <w:t>Rule 316B requires r</w:t>
      </w:r>
      <w:r w:rsidRPr="00B4772E">
        <w:rPr>
          <w:rFonts w:ascii="Trebuchet MS" w:hAnsi="Trebuchet MS"/>
        </w:rPr>
        <w:t>esults of mechanical integrity tests of injection wells or shut-in wells shall be submitted on Form 21, within thirty (30) days after the test. A pressure chart shall accompany this report.</w:t>
      </w:r>
      <w:r w:rsidRPr="00B4772E">
        <w:rPr>
          <w:sz w:val="20"/>
          <w:szCs w:val="20"/>
        </w:rPr>
        <w:t xml:space="preserve">  </w:t>
      </w:r>
      <w:r w:rsidRPr="00B4772E">
        <w:rPr>
          <w:rFonts w:ascii="Trebuchet MS" w:eastAsia="Times New Roman" w:hAnsi="Trebuchet MS"/>
        </w:rPr>
        <w:t>COGCC Rule 100 defines a well as temporarily abandoned if the well becomes incapable of production (e.g., through the removal of necessary production equipment).</w:t>
      </w:r>
      <w:r w:rsidRPr="0023000C">
        <w:rPr>
          <w:rFonts w:ascii="Trebuchet MS" w:eastAsia="Times New Roman" w:hAnsi="Trebuchet MS"/>
        </w:rPr>
        <w:t xml:space="preserve"> </w:t>
      </w:r>
    </w:p>
    <w:p w:rsidR="00110D56" w:rsidRDefault="00110D56" w:rsidP="000F39AC">
      <w:pPr>
        <w:pStyle w:val="body"/>
        <w:rPr>
          <w:sz w:val="24"/>
        </w:rPr>
      </w:pPr>
    </w:p>
    <w:p w:rsidR="000E432D" w:rsidRPr="0023000C" w:rsidRDefault="000E432D" w:rsidP="000E432D">
      <w:pPr>
        <w:jc w:val="both"/>
        <w:rPr>
          <w:rFonts w:ascii="Trebuchet MS" w:eastAsia="Times New Roman" w:hAnsi="Trebuchet MS"/>
        </w:rPr>
      </w:pPr>
      <w:r w:rsidRPr="0023000C">
        <w:rPr>
          <w:rFonts w:ascii="Trebuchet MS" w:eastAsia="Times New Roman" w:hAnsi="Trebuchet MS"/>
        </w:rPr>
        <w:t xml:space="preserve">Please note that any well, incapable of production should have a well status of TA.  If the status of any TA wells is incorrect, per COGCC records, you must update the well status within thirty (30) days of the date of this letter by filing a corrected Form 7 for each well.  Temporarily Abandoned wells also require an annual Form 4 - Sundry Notices, requesting Continued Temporarily Abandoned Status.  These Sundries must contain the last successful MIT date, a brief statement of future plans for the well and a declaration of how the well is closed to the atmosphere.  You must request continued TA status for the listed well(s), where appropriate, within thirty (30) days of the date of this letter.  Failure to file corrected Form 7s and/or failure to file a Form 4, as required, will result in the issuance of a separate NOAV.  </w:t>
      </w:r>
    </w:p>
    <w:p w:rsidR="000E432D" w:rsidRPr="0023000C" w:rsidRDefault="000E432D" w:rsidP="000E432D">
      <w:pPr>
        <w:jc w:val="both"/>
        <w:rPr>
          <w:rFonts w:ascii="Trebuchet MS" w:eastAsia="Times New Roman" w:hAnsi="Trebuchet MS"/>
        </w:rPr>
      </w:pPr>
    </w:p>
    <w:p w:rsidR="000E432D" w:rsidRDefault="000E432D" w:rsidP="000E432D">
      <w:pPr>
        <w:jc w:val="both"/>
        <w:rPr>
          <w:rFonts w:ascii="Trebuchet MS" w:eastAsia="Times New Roman" w:hAnsi="Trebuchet MS"/>
        </w:rPr>
      </w:pPr>
      <w:r w:rsidRPr="0023000C">
        <w:rPr>
          <w:rFonts w:ascii="Trebuchet MS" w:eastAsia="Times New Roman" w:hAnsi="Trebuchet MS"/>
          <w:u w:val="single"/>
        </w:rPr>
        <w:t>SI Wells</w:t>
      </w:r>
      <w:r w:rsidRPr="0023000C">
        <w:rPr>
          <w:rFonts w:ascii="Trebuchet MS" w:eastAsia="Times New Roman" w:hAnsi="Trebuchet MS"/>
        </w:rPr>
        <w:t xml:space="preserve">.  Rule 326.b.1 requires that SI wells pass an MIT within two (2) years of the initial shut-in date and then at five (5) year intervals after an initial successful MIT.  </w:t>
      </w:r>
    </w:p>
    <w:p w:rsidR="00D65DF1" w:rsidRDefault="00D65DF1" w:rsidP="000E432D">
      <w:pPr>
        <w:jc w:val="both"/>
        <w:rPr>
          <w:rFonts w:ascii="Trebuchet MS" w:eastAsia="Times New Roman" w:hAnsi="Trebuchet MS"/>
        </w:rPr>
      </w:pPr>
    </w:p>
    <w:p w:rsidR="00735AB7" w:rsidRDefault="00735AB7" w:rsidP="000E432D">
      <w:pPr>
        <w:jc w:val="both"/>
        <w:rPr>
          <w:rFonts w:ascii="Trebuchet MS" w:eastAsia="Times New Roman" w:hAnsi="Trebuchet MS"/>
        </w:rPr>
      </w:pPr>
      <w:r w:rsidRPr="00B4772E">
        <w:rPr>
          <w:rFonts w:ascii="Trebuchet MS" w:eastAsia="Times New Roman" w:hAnsi="Trebuchet MS"/>
        </w:rPr>
        <w:t>The above listed wells are out of compliance, as of September 22, 2014, for one or more of the following reasons:</w:t>
      </w:r>
    </w:p>
    <w:p w:rsidR="00735AB7" w:rsidRDefault="00735AB7" w:rsidP="00735AB7">
      <w:pPr>
        <w:jc w:val="both"/>
        <w:rPr>
          <w:rFonts w:ascii="Trebuchet MS" w:eastAsia="Times New Roman" w:hAnsi="Trebuchet MS"/>
        </w:rPr>
      </w:pPr>
      <w:r>
        <w:rPr>
          <w:rFonts w:ascii="Trebuchet MS" w:eastAsia="Times New Roman" w:hAnsi="Trebuchet MS"/>
        </w:rPr>
        <w:t xml:space="preserve">TA status over 30 days without report of/or passing an initial </w:t>
      </w:r>
      <w:r w:rsidRPr="004D1239">
        <w:rPr>
          <w:rFonts w:ascii="Trebuchet MS" w:eastAsia="Times New Roman" w:hAnsi="Trebuchet MS"/>
        </w:rPr>
        <w:t>MIT</w:t>
      </w:r>
      <w:r>
        <w:rPr>
          <w:rFonts w:ascii="Trebuchet MS" w:eastAsia="Times New Roman" w:hAnsi="Trebuchet MS"/>
        </w:rPr>
        <w:t>.</w:t>
      </w:r>
    </w:p>
    <w:p w:rsidR="00735AB7" w:rsidRDefault="00735AB7" w:rsidP="00735AB7">
      <w:pPr>
        <w:jc w:val="both"/>
        <w:rPr>
          <w:rFonts w:ascii="Trebuchet MS" w:eastAsia="Times New Roman" w:hAnsi="Trebuchet MS"/>
        </w:rPr>
      </w:pPr>
      <w:r>
        <w:rPr>
          <w:rFonts w:ascii="Trebuchet MS" w:eastAsia="Times New Roman" w:hAnsi="Trebuchet MS"/>
        </w:rPr>
        <w:t xml:space="preserve">SI </w:t>
      </w:r>
      <w:r w:rsidRPr="004D1239">
        <w:rPr>
          <w:rFonts w:ascii="Trebuchet MS" w:eastAsia="Times New Roman" w:hAnsi="Trebuchet MS"/>
        </w:rPr>
        <w:t>status</w:t>
      </w:r>
      <w:r>
        <w:rPr>
          <w:rFonts w:ascii="Trebuchet MS" w:eastAsia="Times New Roman" w:hAnsi="Trebuchet MS"/>
        </w:rPr>
        <w:t xml:space="preserve"> over two years without report of/or passing an </w:t>
      </w:r>
      <w:r w:rsidRPr="004D1239">
        <w:rPr>
          <w:rFonts w:ascii="Trebuchet MS" w:eastAsia="Times New Roman" w:hAnsi="Trebuchet MS"/>
        </w:rPr>
        <w:t>MIT</w:t>
      </w:r>
      <w:r>
        <w:rPr>
          <w:rFonts w:ascii="Trebuchet MS" w:eastAsia="Times New Roman" w:hAnsi="Trebuchet MS"/>
        </w:rPr>
        <w:t>.</w:t>
      </w:r>
    </w:p>
    <w:p w:rsidR="00735AB7" w:rsidRDefault="00735AB7" w:rsidP="00735AB7">
      <w:pPr>
        <w:jc w:val="both"/>
        <w:rPr>
          <w:rFonts w:ascii="Trebuchet MS" w:eastAsia="Times New Roman" w:hAnsi="Trebuchet MS"/>
        </w:rPr>
      </w:pPr>
      <w:r>
        <w:rPr>
          <w:rFonts w:ascii="Trebuchet MS" w:eastAsia="Times New Roman" w:hAnsi="Trebuchet MS"/>
        </w:rPr>
        <w:t xml:space="preserve">TA/SI status has continued in excess of Five (5) years, after initial MIT, without report of a passing, follow up MIT.  </w:t>
      </w:r>
    </w:p>
    <w:p w:rsidR="00735AB7" w:rsidRDefault="00735AB7" w:rsidP="00735AB7">
      <w:pPr>
        <w:jc w:val="both"/>
        <w:rPr>
          <w:rFonts w:ascii="Trebuchet MS" w:eastAsia="Times New Roman" w:hAnsi="Trebuchet MS"/>
        </w:rPr>
      </w:pPr>
      <w:r>
        <w:rPr>
          <w:rFonts w:ascii="Trebuchet MS" w:eastAsia="Times New Roman" w:hAnsi="Trebuchet MS"/>
        </w:rPr>
        <w:t xml:space="preserve">Failure to submit an annual Sundry Notice requesting continued TA status. </w:t>
      </w:r>
    </w:p>
    <w:p w:rsidR="00735AB7" w:rsidRDefault="00735AB7" w:rsidP="00735AB7">
      <w:pPr>
        <w:jc w:val="both"/>
        <w:rPr>
          <w:rFonts w:ascii="Trebuchet MS" w:eastAsia="Times New Roman" w:hAnsi="Trebuchet MS"/>
        </w:rPr>
      </w:pPr>
      <w:r>
        <w:rPr>
          <w:rFonts w:ascii="Trebuchet MS" w:eastAsia="Times New Roman" w:hAnsi="Trebuchet MS"/>
        </w:rPr>
        <w:t>Failure to submit, update and/or correct production records.</w:t>
      </w:r>
    </w:p>
    <w:p w:rsidR="000E432D" w:rsidRDefault="000E432D" w:rsidP="000E432D">
      <w:pPr>
        <w:jc w:val="both"/>
      </w:pPr>
    </w:p>
    <w:p w:rsidR="008144C5" w:rsidRPr="0023000C" w:rsidRDefault="008144C5" w:rsidP="008144C5">
      <w:pPr>
        <w:jc w:val="both"/>
        <w:rPr>
          <w:rFonts w:ascii="Trebuchet MS" w:eastAsia="Times New Roman" w:hAnsi="Trebuchet MS"/>
        </w:rPr>
      </w:pPr>
    </w:p>
    <w:p w:rsidR="00276916" w:rsidRDefault="00276916" w:rsidP="000E432D">
      <w:pPr>
        <w:jc w:val="both"/>
        <w:rPr>
          <w:rFonts w:ascii="Trebuchet MS" w:eastAsia="Times New Roman" w:hAnsi="Trebuchet MS"/>
          <w:b/>
          <w:u w:val="single"/>
        </w:rPr>
      </w:pPr>
    </w:p>
    <w:p w:rsidR="00735AB7" w:rsidRDefault="00735AB7" w:rsidP="00735AB7">
      <w:pPr>
        <w:jc w:val="both"/>
        <w:rPr>
          <w:rFonts w:ascii="Trebuchet MS" w:eastAsia="Times New Roman" w:hAnsi="Trebuchet MS"/>
          <w:color w:val="FF0000"/>
          <w:u w:val="single"/>
        </w:rPr>
      </w:pP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p>
    <w:p w:rsidR="00735AB7" w:rsidRPr="0023000C" w:rsidRDefault="00735AB7" w:rsidP="00735AB7">
      <w:pPr>
        <w:jc w:val="both"/>
        <w:rPr>
          <w:rFonts w:ascii="Trebuchet MS" w:eastAsia="Times New Roman" w:hAnsi="Trebuchet MS"/>
          <w:b/>
          <w:u w:val="single"/>
        </w:rPr>
      </w:pPr>
      <w:r w:rsidRPr="0023000C">
        <w:rPr>
          <w:rFonts w:ascii="Trebuchet MS" w:eastAsia="Times New Roman" w:hAnsi="Trebuchet MS"/>
          <w:b/>
          <w:u w:val="single"/>
        </w:rPr>
        <w:t>How to Comply with this Warning Letter:</w:t>
      </w:r>
    </w:p>
    <w:p w:rsidR="00735AB7" w:rsidRPr="0023000C" w:rsidRDefault="00735AB7" w:rsidP="00735AB7">
      <w:pPr>
        <w:jc w:val="both"/>
        <w:rPr>
          <w:rFonts w:ascii="Trebuchet MS" w:eastAsia="Times New Roman" w:hAnsi="Trebuchet MS"/>
          <w:u w:val="single"/>
        </w:rPr>
      </w:pPr>
    </w:p>
    <w:p w:rsidR="00735AB7" w:rsidRDefault="00735AB7" w:rsidP="00735AB7">
      <w:pPr>
        <w:jc w:val="both"/>
        <w:rPr>
          <w:rFonts w:ascii="Trebuchet MS" w:eastAsia="Times New Roman" w:hAnsi="Trebuchet MS"/>
        </w:rPr>
      </w:pPr>
      <w:r>
        <w:rPr>
          <w:rFonts w:ascii="Trebuchet MS" w:eastAsia="Times New Roman" w:hAnsi="Trebuchet MS"/>
        </w:rPr>
        <w:t>Y</w:t>
      </w:r>
      <w:r w:rsidRPr="0023000C">
        <w:rPr>
          <w:rFonts w:ascii="Trebuchet MS" w:eastAsia="Times New Roman" w:hAnsi="Trebuchet MS"/>
        </w:rPr>
        <w:t>our options for returning the well to compliance are to: pass an MIT, or plug and abandon the well.  To comply with Rules</w:t>
      </w:r>
      <w:r w:rsidR="00EE024F">
        <w:rPr>
          <w:rFonts w:ascii="Trebuchet MS" w:eastAsia="Times New Roman" w:hAnsi="Trebuchet MS"/>
        </w:rPr>
        <w:t xml:space="preserve"> 316B/</w:t>
      </w:r>
      <w:r w:rsidRPr="0023000C">
        <w:rPr>
          <w:rFonts w:ascii="Trebuchet MS" w:eastAsia="Times New Roman" w:hAnsi="Trebuchet MS"/>
        </w:rPr>
        <w:t>319/326: submit a COGCC Form 42 followed by a Form 21; or file a Form 6 – Well Abandonment Report as a Notice of Intent to Abandon for approval prior to performing the work and a second Form 6 – Well Abandonment Report as a Subsequent Report of Abandonment upon com</w:t>
      </w:r>
      <w:r>
        <w:rPr>
          <w:rFonts w:ascii="Trebuchet MS" w:eastAsia="Times New Roman" w:hAnsi="Trebuchet MS"/>
        </w:rPr>
        <w:t>pletion.  For additional information and guidance please see the COGCC’s MIT Policy, available at:</w:t>
      </w:r>
    </w:p>
    <w:p w:rsidR="00735AB7" w:rsidRPr="0023000C" w:rsidRDefault="00D97F70" w:rsidP="00735AB7">
      <w:pPr>
        <w:jc w:val="both"/>
        <w:rPr>
          <w:rFonts w:ascii="Trebuchet MS" w:eastAsia="Times New Roman" w:hAnsi="Trebuchet MS"/>
        </w:rPr>
      </w:pPr>
      <w:hyperlink r:id="rId11" w:history="1">
        <w:r w:rsidR="00735AB7" w:rsidRPr="0023000C">
          <w:rPr>
            <w:rStyle w:val="Hyperlink"/>
            <w:rFonts w:ascii="Trebuchet MS" w:hAnsi="Trebuchet MS"/>
          </w:rPr>
          <w:t>http://cogcc.state.co.us/RR_Docs_new/Policies/COGCC_MIT_Guidance_7-6-2014.pdf</w:t>
        </w:r>
      </w:hyperlink>
      <w:r w:rsidR="00735AB7" w:rsidRPr="0023000C">
        <w:rPr>
          <w:rFonts w:ascii="Trebuchet MS" w:eastAsia="Times New Roman" w:hAnsi="Trebuchet MS"/>
        </w:rPr>
        <w:t xml:space="preserve">    </w:t>
      </w:r>
    </w:p>
    <w:p w:rsidR="00735AB7" w:rsidRDefault="00735AB7" w:rsidP="00735AB7">
      <w:pPr>
        <w:jc w:val="both"/>
        <w:rPr>
          <w:rFonts w:ascii="Trebuchet MS" w:eastAsia="Times New Roman" w:hAnsi="Trebuchet MS"/>
          <w:color w:val="FF0000"/>
          <w:u w:val="single"/>
        </w:rPr>
      </w:pPr>
    </w:p>
    <w:p w:rsidR="00735AB7" w:rsidRPr="001A134D" w:rsidRDefault="00735AB7" w:rsidP="00735AB7">
      <w:pPr>
        <w:jc w:val="both"/>
        <w:rPr>
          <w:rFonts w:ascii="Trebuchet MS" w:eastAsia="Times New Roman" w:hAnsi="Trebuchet MS"/>
          <w:color w:val="FF0000"/>
          <w:u w:val="single"/>
        </w:rPr>
      </w:pPr>
      <w:r w:rsidRPr="001A134D">
        <w:rPr>
          <w:rFonts w:ascii="Trebuchet MS" w:eastAsia="Times New Roman" w:hAnsi="Trebuchet MS"/>
          <w:color w:val="FF0000"/>
          <w:u w:val="single"/>
        </w:rPr>
        <w:t>Additionally, you may be required to submit an annual Sundry Notice requesting continued TA status and submit, update and/or correct production records.</w:t>
      </w:r>
    </w:p>
    <w:p w:rsidR="00735AB7" w:rsidRDefault="00735AB7" w:rsidP="00735AB7">
      <w:pPr>
        <w:jc w:val="both"/>
        <w:rPr>
          <w:rFonts w:ascii="Trebuchet MS" w:eastAsia="Times New Roman" w:hAnsi="Trebuchet MS"/>
          <w:b/>
          <w:u w:val="single"/>
        </w:rPr>
      </w:pPr>
    </w:p>
    <w:p w:rsidR="00735AB7" w:rsidRDefault="00735AB7" w:rsidP="00735AB7">
      <w:pPr>
        <w:jc w:val="both"/>
        <w:rPr>
          <w:rFonts w:ascii="Trebuchet MS" w:eastAsia="Times New Roman" w:hAnsi="Trebuchet MS"/>
          <w:b/>
          <w:u w:val="single"/>
        </w:rPr>
      </w:pPr>
      <w:r w:rsidRPr="0023000C">
        <w:rPr>
          <w:rFonts w:ascii="Trebuchet MS" w:eastAsia="Times New Roman" w:hAnsi="Trebuchet MS"/>
          <w:b/>
        </w:rPr>
        <w:t xml:space="preserve">Corrective Action Deadline Date: </w:t>
      </w:r>
      <w:r w:rsidRPr="007C6E64">
        <w:rPr>
          <w:rFonts w:ascii="Trebuchet MS" w:eastAsia="Times New Roman" w:hAnsi="Trebuchet MS"/>
          <w:b/>
          <w:highlight w:val="yellow"/>
          <w:u w:val="single"/>
        </w:rPr>
        <w:t xml:space="preserve">December </w:t>
      </w:r>
      <w:r>
        <w:rPr>
          <w:rFonts w:ascii="Trebuchet MS" w:eastAsia="Times New Roman" w:hAnsi="Trebuchet MS"/>
          <w:b/>
          <w:highlight w:val="yellow"/>
          <w:u w:val="single"/>
        </w:rPr>
        <w:t>22nd</w:t>
      </w:r>
      <w:r w:rsidRPr="007C6E64">
        <w:rPr>
          <w:rFonts w:ascii="Trebuchet MS" w:eastAsia="Times New Roman" w:hAnsi="Trebuchet MS"/>
          <w:b/>
          <w:highlight w:val="yellow"/>
          <w:u w:val="single"/>
        </w:rPr>
        <w:t>, 2014</w:t>
      </w:r>
    </w:p>
    <w:p w:rsidR="00735AB7" w:rsidRDefault="00735AB7" w:rsidP="00735AB7">
      <w:pPr>
        <w:jc w:val="both"/>
        <w:rPr>
          <w:rFonts w:ascii="Trebuchet MS" w:eastAsia="Times New Roman" w:hAnsi="Trebuchet MS"/>
          <w:b/>
          <w:u w:val="single"/>
        </w:rPr>
      </w:pPr>
    </w:p>
    <w:p w:rsidR="00735AB7" w:rsidRPr="0023000C" w:rsidRDefault="00735AB7" w:rsidP="00735AB7">
      <w:pPr>
        <w:jc w:val="both"/>
        <w:rPr>
          <w:rFonts w:ascii="Trebuchet MS" w:eastAsia="Times New Roman" w:hAnsi="Trebuchet MS"/>
          <w:b/>
          <w:u w:val="single"/>
        </w:rPr>
      </w:pPr>
      <w:r w:rsidRPr="0023000C">
        <w:rPr>
          <w:rFonts w:ascii="Trebuchet MS" w:eastAsia="Times New Roman" w:hAnsi="Trebuchet MS"/>
          <w:b/>
          <w:u w:val="single"/>
        </w:rPr>
        <w:t>Failure to Comply with Warning Letter:</w:t>
      </w:r>
    </w:p>
    <w:p w:rsidR="00735AB7" w:rsidRDefault="00735AB7" w:rsidP="000E432D">
      <w:pPr>
        <w:jc w:val="both"/>
        <w:rPr>
          <w:rFonts w:ascii="Trebuchet MS" w:eastAsia="Times New Roman" w:hAnsi="Trebuchet MS"/>
          <w:noProof/>
        </w:rPr>
      </w:pPr>
    </w:p>
    <w:p w:rsidR="000E432D" w:rsidRPr="0023000C" w:rsidRDefault="0030088B" w:rsidP="000E432D">
      <w:pPr>
        <w:jc w:val="both"/>
        <w:rPr>
          <w:rFonts w:ascii="Trebuchet MS" w:eastAsia="Times New Roman" w:hAnsi="Trebuchet MS"/>
        </w:rPr>
      </w:pPr>
      <w:r>
        <w:rPr>
          <w:rFonts w:ascii="Trebuchet MS" w:eastAsia="Times New Roman" w:hAnsi="Trebuchet MS"/>
          <w:noProof/>
        </w:rPr>
        <w:t xml:space="preserve">If </w:t>
      </w:r>
      <w:r w:rsidR="008144C5">
        <w:rPr>
          <w:rFonts w:ascii="Trebuchet MS" w:eastAsia="Times New Roman" w:hAnsi="Trebuchet MS"/>
          <w:noProof/>
        </w:rPr>
        <w:t xml:space="preserve">Operator </w:t>
      </w:r>
      <w:r w:rsidR="00476BE4" w:rsidRPr="0023000C">
        <w:rPr>
          <w:rFonts w:ascii="Trebuchet MS" w:eastAsia="Times New Roman" w:hAnsi="Trebuchet MS"/>
        </w:rPr>
        <w:t xml:space="preserve">fails to perform required corrective actions, COGCC will issue a Notice of Alleged Violation and seek penalties pursuant to § 34-60-121, C.R.S. and Rule 523, COGCC Rules of Practice and Procedure, 2 CCR 404-1.  </w:t>
      </w:r>
      <w:r w:rsidR="000E432D" w:rsidRPr="0023000C">
        <w:rPr>
          <w:rFonts w:ascii="Trebuchet MS" w:eastAsia="Times New Roman" w:hAnsi="Trebuchet MS"/>
        </w:rPr>
        <w:t>(</w:t>
      </w:r>
      <w:r w:rsidR="000E432D" w:rsidRPr="0023000C">
        <w:rPr>
          <w:rFonts w:ascii="Trebuchet MS" w:eastAsia="Times New Roman" w:hAnsi="Trebuchet MS"/>
          <w:u w:val="single"/>
        </w:rPr>
        <w:t>Please note that the COGCC's penalty authority was recently increased to a maximum of $15,000 per day and penalties are no longer capped at a maximum of $10,000 per violation</w:t>
      </w:r>
      <w:r w:rsidR="000E432D" w:rsidRPr="0023000C">
        <w:rPr>
          <w:rFonts w:ascii="Trebuchet MS" w:eastAsia="Times New Roman" w:hAnsi="Trebuchet MS"/>
        </w:rPr>
        <w:t>.)</w:t>
      </w:r>
    </w:p>
    <w:p w:rsidR="000E432D" w:rsidRPr="0023000C" w:rsidRDefault="000E432D" w:rsidP="000E432D">
      <w:pPr>
        <w:jc w:val="both"/>
        <w:rPr>
          <w:rFonts w:ascii="Trebuchet MS" w:eastAsia="Times New Roman" w:hAnsi="Trebuchet MS"/>
        </w:rPr>
      </w:pPr>
    </w:p>
    <w:p w:rsidR="000E432D" w:rsidRPr="0023000C" w:rsidRDefault="000E432D" w:rsidP="000E432D">
      <w:pPr>
        <w:jc w:val="both"/>
        <w:rPr>
          <w:rFonts w:ascii="Trebuchet MS" w:eastAsia="Times New Roman" w:hAnsi="Trebuchet MS"/>
        </w:rPr>
      </w:pPr>
      <w:r w:rsidRPr="0023000C">
        <w:rPr>
          <w:rFonts w:ascii="Trebuchet MS" w:eastAsia="Times New Roman" w:hAnsi="Trebuchet MS"/>
        </w:rPr>
        <w:t>If you have any questions about this Warning Letter, please contact the COGCC representative below.</w:t>
      </w:r>
    </w:p>
    <w:p w:rsidR="000E432D" w:rsidRPr="0023000C" w:rsidRDefault="000E432D" w:rsidP="000E432D">
      <w:pPr>
        <w:jc w:val="both"/>
        <w:rPr>
          <w:rFonts w:ascii="Trebuchet MS" w:eastAsia="Times New Roman" w:hAnsi="Trebuchet MS"/>
        </w:rPr>
      </w:pPr>
    </w:p>
    <w:p w:rsidR="000E432D" w:rsidRPr="0023000C" w:rsidRDefault="000E432D" w:rsidP="000E432D">
      <w:pPr>
        <w:jc w:val="both"/>
        <w:rPr>
          <w:rFonts w:ascii="Trebuchet MS" w:eastAsia="Times New Roman" w:hAnsi="Trebuchet MS"/>
        </w:rPr>
      </w:pPr>
    </w:p>
    <w:p w:rsidR="000E432D" w:rsidRDefault="000E432D" w:rsidP="000E432D">
      <w:pPr>
        <w:jc w:val="both"/>
        <w:rPr>
          <w:rFonts w:ascii="Trebuchet MS" w:eastAsia="Times New Roman" w:hAnsi="Trebuchet MS"/>
        </w:rPr>
      </w:pPr>
      <w:r w:rsidRPr="0023000C">
        <w:rPr>
          <w:rFonts w:ascii="Trebuchet MS" w:eastAsia="Times New Roman" w:hAnsi="Trebuchet MS"/>
        </w:rPr>
        <w:t>Sincerely,</w:t>
      </w:r>
    </w:p>
    <w:p w:rsidR="000E432D" w:rsidRPr="00C23A32" w:rsidRDefault="000E432D" w:rsidP="000E432D">
      <w:pPr>
        <w:jc w:val="both"/>
        <w:rPr>
          <w:rFonts w:ascii="Trebuchet MS" w:eastAsia="Times New Roman" w:hAnsi="Trebuchet MS"/>
          <w:sz w:val="16"/>
          <w:szCs w:val="16"/>
        </w:rPr>
      </w:pPr>
    </w:p>
    <w:p w:rsidR="000E432D" w:rsidRPr="00C23A32" w:rsidRDefault="000E432D" w:rsidP="000E432D">
      <w:pPr>
        <w:jc w:val="both"/>
        <w:rPr>
          <w:rFonts w:ascii="Kunstler Script" w:eastAsia="Times New Roman" w:hAnsi="Kunstler Script"/>
          <w:color w:val="0070C0"/>
          <w:sz w:val="36"/>
          <w:szCs w:val="36"/>
        </w:rPr>
      </w:pPr>
      <w:r w:rsidRPr="00C23A32">
        <w:rPr>
          <w:rFonts w:ascii="Kunstler Script" w:eastAsia="Times New Roman" w:hAnsi="Kunstler Script"/>
          <w:color w:val="0070C0"/>
          <w:sz w:val="36"/>
          <w:szCs w:val="36"/>
        </w:rPr>
        <w:t>Leigh Bradshaw</w:t>
      </w:r>
    </w:p>
    <w:p w:rsidR="000E432D" w:rsidRDefault="000E432D" w:rsidP="000E432D">
      <w:pPr>
        <w:autoSpaceDE w:val="0"/>
        <w:autoSpaceDN w:val="0"/>
        <w:spacing w:line="241" w:lineRule="atLeast"/>
      </w:pPr>
      <w:r>
        <w:rPr>
          <w:rFonts w:ascii="Trebuchet MS" w:hAnsi="Trebuchet MS"/>
          <w:b/>
          <w:bCs/>
          <w:color w:val="4B535A"/>
          <w:sz w:val="17"/>
          <w:szCs w:val="17"/>
        </w:rPr>
        <w:t>Leigh Bradshaw</w:t>
      </w:r>
    </w:p>
    <w:p w:rsidR="000E432D" w:rsidRDefault="000E432D" w:rsidP="000E432D">
      <w:pPr>
        <w:autoSpaceDE w:val="0"/>
        <w:autoSpaceDN w:val="0"/>
        <w:spacing w:line="241" w:lineRule="atLeast"/>
      </w:pPr>
      <w:r>
        <w:rPr>
          <w:rFonts w:ascii="Trebuchet MS" w:hAnsi="Trebuchet MS"/>
          <w:b/>
          <w:bCs/>
          <w:color w:val="4B535A"/>
          <w:sz w:val="17"/>
          <w:szCs w:val="17"/>
        </w:rPr>
        <w:t>Engineering Technician</w:t>
      </w:r>
    </w:p>
    <w:p w:rsidR="000E432D" w:rsidRDefault="000E432D" w:rsidP="000E432D">
      <w:pPr>
        <w:autoSpaceDE w:val="0"/>
        <w:autoSpaceDN w:val="0"/>
        <w:spacing w:line="241" w:lineRule="atLeast"/>
      </w:pPr>
      <w:r>
        <w:rPr>
          <w:rFonts w:ascii="Trebuchet MS" w:hAnsi="Trebuchet MS"/>
          <w:color w:val="535D64"/>
          <w:sz w:val="17"/>
          <w:szCs w:val="17"/>
        </w:rPr>
        <w:t xml:space="preserve">P 303.894.2100 x5187 | F 303.894.2109 </w:t>
      </w:r>
    </w:p>
    <w:p w:rsidR="000E432D" w:rsidRDefault="000E432D" w:rsidP="000E432D">
      <w:pPr>
        <w:autoSpaceDE w:val="0"/>
        <w:autoSpaceDN w:val="0"/>
        <w:spacing w:line="241" w:lineRule="atLeast"/>
      </w:pPr>
      <w:r>
        <w:rPr>
          <w:rFonts w:ascii="Trebuchet MS" w:hAnsi="Trebuchet MS"/>
          <w:color w:val="535D64"/>
          <w:sz w:val="17"/>
          <w:szCs w:val="17"/>
        </w:rPr>
        <w:t xml:space="preserve">1120 Lincoln Street, Suite 801, Denver, CO 80203 </w:t>
      </w:r>
    </w:p>
    <w:p w:rsidR="00CE557F" w:rsidRPr="0029469D" w:rsidRDefault="00CE557F" w:rsidP="001F3015">
      <w:pPr>
        <w:jc w:val="both"/>
      </w:pPr>
    </w:p>
    <w:sectPr w:rsidR="00CE557F" w:rsidRPr="0029469D" w:rsidSect="00D1354C">
      <w:pgSz w:w="12240" w:h="15840"/>
      <w:pgMar w:top="1800" w:right="1800" w:bottom="720" w:left="1080" w:header="634" w:footer="89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AB7" w:rsidRDefault="00735AB7" w:rsidP="003523C4">
      <w:r>
        <w:separator/>
      </w:r>
    </w:p>
  </w:endnote>
  <w:endnote w:type="continuationSeparator" w:id="0">
    <w:p w:rsidR="00735AB7" w:rsidRDefault="00735AB7" w:rsidP="00352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B7" w:rsidRDefault="00735AB7" w:rsidP="003523C4">
    <w:pPr>
      <w:pStyle w:val="Footer"/>
      <w:tabs>
        <w:tab w:val="clear" w:pos="4320"/>
        <w:tab w:val="clear" w:pos="8640"/>
      </w:tabs>
    </w:pPr>
    <w:r>
      <w:rPr>
        <w:noProof/>
      </w:rPr>
      <w:drawing>
        <wp:anchor distT="0" distB="0" distL="114300" distR="114300" simplePos="0" relativeHeight="251668480" behindDoc="0" locked="0" layoutInCell="1" allowOverlap="1">
          <wp:simplePos x="0" y="0"/>
          <wp:positionH relativeFrom="column">
            <wp:posOffset>5675435</wp:posOffset>
          </wp:positionH>
          <wp:positionV relativeFrom="paragraph">
            <wp:posOffset>272806</wp:posOffset>
          </wp:positionV>
          <wp:extent cx="725365" cy="732692"/>
          <wp:effectExtent l="19050" t="0" r="0" b="0"/>
          <wp:wrapNone/>
          <wp:docPr id="1" name="Picture 26"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5365" cy="732692"/>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5445125</wp:posOffset>
          </wp:positionH>
          <wp:positionV relativeFrom="paragraph">
            <wp:posOffset>313690</wp:posOffset>
          </wp:positionV>
          <wp:extent cx="152400" cy="609600"/>
          <wp:effectExtent l="0" t="0" r="0" b="0"/>
          <wp:wrapNone/>
          <wp:docPr id="25" name="Picture 25"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l="-650000" r="-650000"/>
                  <a:stretch>
                    <a:fillRect/>
                  </a:stretch>
                </pic:blipFill>
                <pic:spPr bwMode="auto">
                  <a:xfrm>
                    <a:off x="0" y="0"/>
                    <a:ext cx="152400" cy="609600"/>
                  </a:xfrm>
                  <a:prstGeom prst="rect">
                    <a:avLst/>
                  </a:prstGeom>
                  <a:noFill/>
                  <a:ln w="9525">
                    <a:noFill/>
                    <a:miter lim="800000"/>
                    <a:headEnd/>
                    <a:tailEnd/>
                  </a:ln>
                </pic:spPr>
              </pic:pic>
            </a:graphicData>
          </a:graphic>
        </wp:anchor>
      </w:drawing>
    </w:r>
    <w:r w:rsidR="00D97F70">
      <w:rPr>
        <w:noProof/>
      </w:rPr>
      <w:pict>
        <v:shapetype id="_x0000_t202" coordsize="21600,21600" o:spt="202" path="m,l,21600r21600,l21600,xe">
          <v:stroke joinstyle="miter"/>
          <v:path gradientshapeok="t" o:connecttype="rect"/>
        </v:shapetype>
        <v:shape id="Text Box 24" o:spid="_x0000_s6145" type="#_x0000_t202" style="position:absolute;margin-left:-35.8pt;margin-top:21.5pt;width:460.95pt;height:58.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Rk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" filled="f" stroked="f">
          <v:textbox style="mso-next-textbox:#Text Box 24" inset="0,0,0,0">
            <w:txbxContent>
              <w:p w:rsidR="00735AB7" w:rsidRPr="009C290C" w:rsidRDefault="00735AB7" w:rsidP="002576E3">
                <w:pPr>
                  <w:pStyle w:val="returnaddressbottom"/>
                  <w:tabs>
                    <w:tab w:val="clear" w:pos="4320"/>
                    <w:tab w:val="center" w:pos="0"/>
                  </w:tabs>
                  <w:rPr>
                    <w:rFonts w:ascii="Times New Roman" w:hAnsi="Times New Roman"/>
                    <w:szCs w:val="16"/>
                  </w:rPr>
                </w:pPr>
                <w:r w:rsidRPr="002576E3">
                  <w:rPr>
                    <w:rFonts w:ascii="Times New Roman" w:hAnsi="Times New Roman"/>
                    <w:sz w:val="18"/>
                    <w:szCs w:val="18"/>
                  </w:rPr>
                  <w:t> </w:t>
                </w:r>
                <w:r w:rsidRPr="009C290C">
                  <w:rPr>
                    <w:szCs w:val="16"/>
                  </w:rPr>
                  <w:t>P 303.894.2100</w:t>
                </w:r>
                <w:r w:rsidRPr="009C290C">
                  <w:rPr>
                    <w:rFonts w:ascii="Times New Roman" w:hAnsi="Times New Roman"/>
                    <w:szCs w:val="16"/>
                  </w:rPr>
                  <w:t> </w:t>
                </w:r>
                <w:r w:rsidRPr="009C290C">
                  <w:rPr>
                    <w:szCs w:val="16"/>
                  </w:rPr>
                  <w:t>F 303.894.2109</w:t>
                </w:r>
                <w:r w:rsidRPr="009C290C">
                  <w:rPr>
                    <w:rFonts w:ascii="Times New Roman" w:hAnsi="Times New Roman"/>
                    <w:szCs w:val="16"/>
                  </w:rPr>
                  <w:t> </w:t>
                </w:r>
                <w:r w:rsidRPr="009C290C">
                  <w:rPr>
                    <w:szCs w:val="16"/>
                  </w:rPr>
                  <w:t>www.colorado.gov/cogcc</w:t>
                </w:r>
              </w:p>
              <w:p w:rsidR="00735AB7" w:rsidRDefault="00735AB7" w:rsidP="009C290C">
                <w:pPr>
                  <w:pStyle w:val="returnaddressbottom"/>
                  <w:spacing w:line="260" w:lineRule="exact"/>
                  <w:rPr>
                    <w:szCs w:val="16"/>
                  </w:rPr>
                </w:pPr>
                <w:r w:rsidRPr="009C290C">
                  <w:rPr>
                    <w:szCs w:val="16"/>
                  </w:rPr>
                  <w:t>Commissioners</w:t>
                </w:r>
                <w:r>
                  <w:rPr>
                    <w:szCs w:val="16"/>
                  </w:rPr>
                  <w:t xml:space="preserve">: Thomas L. Compton - </w:t>
                </w:r>
                <w:r w:rsidRPr="009C290C">
                  <w:rPr>
                    <w:szCs w:val="16"/>
                  </w:rPr>
                  <w:t xml:space="preserve">Chairman, Richard Alward, John </w:t>
                </w:r>
                <w:r>
                  <w:rPr>
                    <w:szCs w:val="16"/>
                  </w:rPr>
                  <w:t xml:space="preserve">H. </w:t>
                </w:r>
                <w:r w:rsidRPr="009C290C">
                  <w:rPr>
                    <w:szCs w:val="16"/>
                  </w:rPr>
                  <w:t xml:space="preserve">Benton, DeAnn Craig, </w:t>
                </w:r>
                <w:r>
                  <w:rPr>
                    <w:szCs w:val="16"/>
                  </w:rPr>
                  <w:t xml:space="preserve"> </w:t>
                </w:r>
              </w:p>
              <w:p w:rsidR="00735AB7" w:rsidRPr="009C290C" w:rsidRDefault="00735AB7" w:rsidP="009C290C">
                <w:pPr>
                  <w:pStyle w:val="returnaddressbottom"/>
                  <w:spacing w:line="260" w:lineRule="exact"/>
                  <w:rPr>
                    <w:szCs w:val="16"/>
                  </w:rPr>
                </w:pPr>
                <w:r>
                  <w:rPr>
                    <w:szCs w:val="16"/>
                  </w:rPr>
                  <w:t xml:space="preserve">James W. Hawkins, </w:t>
                </w:r>
                <w:r w:rsidRPr="009C290C">
                  <w:rPr>
                    <w:szCs w:val="16"/>
                  </w:rPr>
                  <w:t xml:space="preserve">Tommy Holton, Andrew </w:t>
                </w:r>
                <w:r>
                  <w:rPr>
                    <w:szCs w:val="16"/>
                  </w:rPr>
                  <w:t xml:space="preserve">L. Spielman, </w:t>
                </w:r>
                <w:r w:rsidRPr="009C290C">
                  <w:rPr>
                    <w:szCs w:val="16"/>
                  </w:rPr>
                  <w:t>Mike King, Dr. Larry Wolk</w:t>
                </w:r>
              </w:p>
              <w:p w:rsidR="00735AB7" w:rsidRPr="009C290C" w:rsidRDefault="00735AB7" w:rsidP="002576E3">
                <w:pPr>
                  <w:pStyle w:val="returnaddressbottom"/>
                  <w:spacing w:line="260" w:lineRule="exact"/>
                  <w:rPr>
                    <w:szCs w:val="16"/>
                  </w:rPr>
                </w:pPr>
                <w:r w:rsidRPr="009C290C">
                  <w:rPr>
                    <w:szCs w:val="16"/>
                  </w:rPr>
                  <w:t>John W. Hickenlooper, Governor</w:t>
                </w:r>
                <w:r w:rsidRPr="009C290C">
                  <w:rPr>
                    <w:rFonts w:ascii="Times New Roman" w:hAnsi="Times New Roman"/>
                    <w:szCs w:val="16"/>
                  </w:rPr>
                  <w:t> </w:t>
                </w:r>
                <w:r w:rsidRPr="009C290C">
                  <w:rPr>
                    <w:szCs w:val="16"/>
                  </w:rPr>
                  <w:t>|</w:t>
                </w:r>
                <w:r w:rsidRPr="009C290C">
                  <w:rPr>
                    <w:rFonts w:ascii="Times New Roman" w:hAnsi="Times New Roman"/>
                    <w:szCs w:val="16"/>
                  </w:rPr>
                  <w:t> </w:t>
                </w:r>
                <w:r w:rsidRPr="009C290C">
                  <w:rPr>
                    <w:szCs w:val="16"/>
                  </w:rPr>
                  <w:t>Mike King, Executive Director, DNR</w:t>
                </w:r>
                <w:r w:rsidRPr="009C290C">
                  <w:rPr>
                    <w:rFonts w:ascii="Times New Roman" w:hAnsi="Times New Roman"/>
                    <w:szCs w:val="16"/>
                  </w:rPr>
                  <w:t> </w:t>
                </w:r>
                <w:r w:rsidRPr="009C290C">
                  <w:rPr>
                    <w:szCs w:val="16"/>
                  </w:rPr>
                  <w:t>|</w:t>
                </w:r>
                <w:r w:rsidRPr="009C290C">
                  <w:rPr>
                    <w:rFonts w:ascii="Times New Roman" w:hAnsi="Times New Roman"/>
                    <w:szCs w:val="16"/>
                  </w:rPr>
                  <w:t> </w:t>
                </w:r>
                <w:r w:rsidRPr="009C290C">
                  <w:rPr>
                    <w:szCs w:val="16"/>
                  </w:rPr>
                  <w:t>Matthew J. Lepore, Director</w:t>
                </w:r>
              </w:p>
              <w:p w:rsidR="00735AB7" w:rsidRPr="002576E3" w:rsidRDefault="00735AB7" w:rsidP="002576E3">
                <w:pPr>
                  <w:pStyle w:val="returnaddressbottom"/>
                  <w:tabs>
                    <w:tab w:val="left" w:pos="1260"/>
                  </w:tabs>
                  <w:spacing w:line="260" w:lineRule="exact"/>
                  <w:rPr>
                    <w:sz w:val="18"/>
                    <w:szCs w:val="18"/>
                  </w:rPr>
                </w:pPr>
              </w:p>
              <w:p w:rsidR="00735AB7" w:rsidRDefault="00735AB7" w:rsidP="004569A4">
                <w:pPr>
                  <w:pStyle w:val="returnaddressbottom"/>
                </w:pPr>
              </w:p>
              <w:p w:rsidR="00735AB7" w:rsidRDefault="00735AB7" w:rsidP="004569A4">
                <w:pPr>
                  <w:pStyle w:val="returnaddressbottom"/>
                </w:pPr>
              </w:p>
              <w:p w:rsidR="00735AB7" w:rsidRPr="00CA6E16" w:rsidRDefault="00735AB7" w:rsidP="004569A4">
                <w:pPr>
                  <w:pStyle w:val="returnaddressbottom"/>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AB7" w:rsidRDefault="00735AB7" w:rsidP="003523C4">
      <w:r>
        <w:separator/>
      </w:r>
    </w:p>
  </w:footnote>
  <w:footnote w:type="continuationSeparator" w:id="0">
    <w:p w:rsidR="00735AB7" w:rsidRDefault="00735AB7" w:rsidP="00352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B7" w:rsidRPr="00CE7A44" w:rsidRDefault="00735AB7" w:rsidP="007D56F4">
    <w:pPr>
      <w:jc w:val="both"/>
      <w:rPr>
        <w:rFonts w:ascii="Trebuchet MS" w:eastAsia="Calibri" w:hAnsi="Trebuchet MS"/>
      </w:rPr>
    </w:pPr>
    <w:r w:rsidRPr="000B4544">
      <w:rPr>
        <w:rFonts w:ascii="Trebuchet MS" w:eastAsia="Calibri" w:hAnsi="Trebuchet MS"/>
        <w:noProof/>
      </w:rPr>
      <w:t>60890</w:t>
    </w:r>
    <w:r w:rsidRPr="00CE7A44">
      <w:rPr>
        <w:rFonts w:ascii="Trebuchet MS" w:eastAsia="Calibri" w:hAnsi="Trebuchet MS"/>
      </w:rPr>
      <w:t xml:space="preserve"> </w:t>
    </w:r>
    <w:r w:rsidRPr="000B4544">
      <w:rPr>
        <w:rFonts w:ascii="Trebuchet MS" w:eastAsia="Calibri" w:hAnsi="Trebuchet MS"/>
        <w:noProof/>
      </w:rPr>
      <w:t>MOUNTAIN PETROLEUM CORP</w:t>
    </w:r>
    <w:r w:rsidRPr="00CE7A44">
      <w:rPr>
        <w:rFonts w:ascii="Trebuchet MS" w:eastAsia="Calibri" w:hAnsi="Trebuchet MS"/>
      </w:rPr>
      <w:t xml:space="preserve"> </w:t>
    </w:r>
  </w:p>
  <w:p w:rsidR="00735AB7" w:rsidRPr="00CE7A44" w:rsidRDefault="00735AB7" w:rsidP="007D56F4">
    <w:pPr>
      <w:jc w:val="both"/>
      <w:rPr>
        <w:rFonts w:ascii="Trebuchet MS" w:eastAsia="Calibri" w:hAnsi="Trebuchet MS"/>
      </w:rPr>
    </w:pPr>
    <w:r w:rsidRPr="000B4544">
      <w:rPr>
        <w:rFonts w:ascii="Trebuchet MS" w:eastAsia="Calibri" w:hAnsi="Trebuchet MS"/>
        <w:noProof/>
      </w:rPr>
      <w:t>Steve Matre</w:t>
    </w:r>
    <w:r w:rsidRPr="00CE7A44">
      <w:rPr>
        <w:rFonts w:ascii="Trebuchet MS" w:eastAsia="Calibri" w:hAnsi="Trebuchet MS"/>
      </w:rPr>
      <w:t xml:space="preserve">, </w:t>
    </w:r>
    <w:r w:rsidRPr="000B4544">
      <w:rPr>
        <w:rFonts w:ascii="Trebuchet MS" w:eastAsia="Calibri" w:hAnsi="Trebuchet MS"/>
        <w:noProof/>
      </w:rPr>
      <w:t>vice President</w:t>
    </w:r>
  </w:p>
  <w:p w:rsidR="00735AB7" w:rsidRPr="00CE7A44" w:rsidRDefault="00735AB7" w:rsidP="007D56F4">
    <w:pPr>
      <w:jc w:val="both"/>
      <w:rPr>
        <w:rFonts w:ascii="Trebuchet MS" w:eastAsia="Calibri" w:hAnsi="Trebuchet MS"/>
      </w:rPr>
    </w:pPr>
    <w:r w:rsidRPr="000B4544">
      <w:rPr>
        <w:rFonts w:ascii="Trebuchet MS" w:eastAsia="Calibri" w:hAnsi="Trebuchet MS"/>
        <w:noProof/>
      </w:rPr>
      <w:t>1801 Braodway</w:t>
    </w:r>
    <w:r>
      <w:rPr>
        <w:rFonts w:ascii="Trebuchet MS" w:eastAsia="Calibri" w:hAnsi="Trebuchet MS"/>
      </w:rPr>
      <w:t xml:space="preserve"> </w:t>
    </w:r>
    <w:r w:rsidRPr="000B4544">
      <w:rPr>
        <w:rFonts w:ascii="Trebuchet MS" w:eastAsia="Calibri" w:hAnsi="Trebuchet MS"/>
        <w:noProof/>
      </w:rPr>
      <w:t>STE. 1250</w:t>
    </w:r>
    <w:r w:rsidRPr="00CE7A44">
      <w:rPr>
        <w:rFonts w:ascii="Trebuchet MS" w:eastAsia="Calibri" w:hAnsi="Trebuchet MS"/>
      </w:rPr>
      <w:t xml:space="preserve">, </w:t>
    </w:r>
    <w:r w:rsidRPr="000B4544">
      <w:rPr>
        <w:rFonts w:ascii="Trebuchet MS" w:eastAsia="Calibri" w:hAnsi="Trebuchet MS"/>
        <w:noProof/>
      </w:rPr>
      <w:t>Denver</w:t>
    </w:r>
    <w:r w:rsidRPr="00CE7A44">
      <w:rPr>
        <w:rFonts w:ascii="Trebuchet MS" w:eastAsia="Calibri" w:hAnsi="Trebuchet MS"/>
      </w:rPr>
      <w:t xml:space="preserve">, </w:t>
    </w:r>
    <w:r w:rsidRPr="000B4544">
      <w:rPr>
        <w:rFonts w:ascii="Trebuchet MS" w:eastAsia="Calibri" w:hAnsi="Trebuchet MS"/>
        <w:noProof/>
      </w:rPr>
      <w:t>CO</w:t>
    </w:r>
    <w:r w:rsidRPr="00CE7A44">
      <w:rPr>
        <w:rFonts w:ascii="Trebuchet MS" w:eastAsia="Calibri" w:hAnsi="Trebuchet MS"/>
      </w:rPr>
      <w:t xml:space="preserve">. </w:t>
    </w:r>
    <w:r w:rsidRPr="000B4544">
      <w:rPr>
        <w:rFonts w:ascii="Trebuchet MS" w:eastAsia="Calibri" w:hAnsi="Trebuchet MS"/>
        <w:noProof/>
      </w:rPr>
      <w:t>80202</w:t>
    </w:r>
  </w:p>
  <w:p w:rsidR="00735AB7" w:rsidRPr="00CE7A44" w:rsidRDefault="00735AB7" w:rsidP="001A5C1F">
    <w:pPr>
      <w:jc w:val="both"/>
      <w:rPr>
        <w:rFonts w:ascii="Trebuchet MS" w:eastAsia="Calibri" w:hAnsi="Trebuchet MS"/>
      </w:rPr>
    </w:pPr>
  </w:p>
  <w:p w:rsidR="00735AB7" w:rsidRPr="00D1354C" w:rsidRDefault="00735AB7" w:rsidP="00C77C87">
    <w:pPr>
      <w:pStyle w:val="Header"/>
      <w:spacing w:after="40"/>
      <w:rPr>
        <w:rFonts w:ascii="Trebuchet MS" w:hAnsi="Trebuchet MS"/>
        <w:i/>
        <w:sz w:val="22"/>
        <w:szCs w:val="22"/>
      </w:rPr>
    </w:pPr>
    <w:r>
      <w:rPr>
        <w:rFonts w:ascii="Trebuchet MS" w:eastAsia="Calibri" w:hAnsi="Trebuchet MS"/>
        <w:noProof/>
      </w:rPr>
      <w:tab/>
    </w:r>
    <w:r w:rsidRPr="00D1354C">
      <w:rPr>
        <w:rFonts w:ascii="Trebuchet MS" w:hAnsi="Trebuchet MS"/>
        <w:i/>
        <w:sz w:val="22"/>
        <w:szCs w:val="22"/>
      </w:rPr>
      <w:t xml:space="preserve">Page </w:t>
    </w:r>
    <w:r w:rsidR="00D97F70" w:rsidRPr="00D1354C">
      <w:rPr>
        <w:rFonts w:ascii="Trebuchet MS" w:hAnsi="Trebuchet MS"/>
        <w:i/>
        <w:sz w:val="22"/>
        <w:szCs w:val="22"/>
      </w:rPr>
      <w:fldChar w:fldCharType="begin"/>
    </w:r>
    <w:r w:rsidRPr="00D1354C">
      <w:rPr>
        <w:rFonts w:ascii="Trebuchet MS" w:hAnsi="Trebuchet MS"/>
        <w:i/>
        <w:sz w:val="22"/>
        <w:szCs w:val="22"/>
      </w:rPr>
      <w:instrText xml:space="preserve"> PAGE   \* MERGEFORMAT </w:instrText>
    </w:r>
    <w:r w:rsidR="00D97F70" w:rsidRPr="00D1354C">
      <w:rPr>
        <w:rFonts w:ascii="Trebuchet MS" w:hAnsi="Trebuchet MS"/>
        <w:i/>
        <w:sz w:val="22"/>
        <w:szCs w:val="22"/>
      </w:rPr>
      <w:fldChar w:fldCharType="separate"/>
    </w:r>
    <w:r w:rsidR="00EE024F">
      <w:rPr>
        <w:rFonts w:ascii="Trebuchet MS" w:hAnsi="Trebuchet MS"/>
        <w:i/>
        <w:noProof/>
        <w:sz w:val="22"/>
        <w:szCs w:val="22"/>
      </w:rPr>
      <w:t>3</w:t>
    </w:r>
    <w:r w:rsidR="00D97F70" w:rsidRPr="00D1354C">
      <w:rPr>
        <w:rFonts w:ascii="Trebuchet MS" w:hAnsi="Trebuchet MS"/>
        <w:i/>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B7" w:rsidRDefault="00735AB7" w:rsidP="003523C4">
    <w:pPr>
      <w:pStyle w:val="Header"/>
      <w:tabs>
        <w:tab w:val="clear" w:pos="4320"/>
      </w:tabs>
    </w:pPr>
    <w:r>
      <w:rPr>
        <w:noProof/>
      </w:rPr>
      <w:drawing>
        <wp:anchor distT="0" distB="0" distL="114300" distR="114300" simplePos="0" relativeHeight="251666432" behindDoc="0" locked="0" layoutInCell="1" allowOverlap="1">
          <wp:simplePos x="0" y="0"/>
          <wp:positionH relativeFrom="column">
            <wp:posOffset>-1270</wp:posOffset>
          </wp:positionH>
          <wp:positionV relativeFrom="paragraph">
            <wp:posOffset>228600</wp:posOffset>
          </wp:positionV>
          <wp:extent cx="2375535" cy="640080"/>
          <wp:effectExtent l="1905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dnr_div_ogcc_300_rgb_ltrh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5535" cy="64008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D97F70">
      <w:rPr>
        <w:noProof/>
      </w:rPr>
      <w:pict>
        <v:shapetype id="_x0000_t202" coordsize="21600,21600" o:spt="202" path="m,l,21600r21600,l21600,xe">
          <v:stroke joinstyle="miter"/>
          <v:path gradientshapeok="t" o:connecttype="rect"/>
        </v:shapetype>
        <v:shape id="Text Box 28" o:spid="_x0000_s6146" type="#_x0000_t202" style="position:absolute;margin-left:77.75pt;margin-top:68.4pt;width:134.55pt;height:38.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" filled="f" stroked="f">
          <v:textbox style="mso-next-textbox:#Text Box 28" inset="0,9.36pt,0,0">
            <w:txbxContent>
              <w:p w:rsidR="00735AB7" w:rsidRPr="00A84DCB" w:rsidRDefault="00735AB7" w:rsidP="003523C4">
                <w:pPr>
                  <w:pStyle w:val="returnaddress"/>
                  <w:rPr>
                    <w:szCs w:val="16"/>
                  </w:rPr>
                </w:pPr>
                <w:r w:rsidRPr="00A84DCB">
                  <w:rPr>
                    <w:szCs w:val="16"/>
                  </w:rPr>
                  <w:t>1120 Lincoln Street</w:t>
                </w:r>
                <w:r w:rsidRPr="00A84DCB">
                  <w:rPr>
                    <w:rStyle w:val="returnaddressChar"/>
                    <w:szCs w:val="16"/>
                  </w:rPr>
                  <w:t>, Suite</w:t>
                </w:r>
                <w:r w:rsidRPr="00A84DCB">
                  <w:rPr>
                    <w:szCs w:val="16"/>
                  </w:rPr>
                  <w:t xml:space="preserve"> 801</w:t>
                </w:r>
              </w:p>
              <w:p w:rsidR="00735AB7" w:rsidRPr="00A84DCB" w:rsidRDefault="00735AB7" w:rsidP="003523C4">
                <w:pPr>
                  <w:pStyle w:val="returnaddress"/>
                  <w:rPr>
                    <w:szCs w:val="16"/>
                  </w:rPr>
                </w:pPr>
                <w:r w:rsidRPr="00A84DCB">
                  <w:rPr>
                    <w:szCs w:val="16"/>
                  </w:rPr>
                  <w:t>Denver, CO 80203</w:t>
                </w:r>
              </w:p>
              <w:p w:rsidR="00735AB7" w:rsidRPr="00DF4CDA" w:rsidRDefault="00735AB7" w:rsidP="003523C4">
                <w:pPr>
                  <w:pStyle w:val="returnaddress"/>
                  <w:rPr>
                    <w:b/>
                  </w:rPr>
                </w:pPr>
              </w:p>
            </w:txbxContent>
          </v:textbox>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useFELayout/>
  </w:compat>
  <w:rsids>
    <w:rsidRoot w:val="003570D4"/>
    <w:rsid w:val="0001139B"/>
    <w:rsid w:val="00013DB4"/>
    <w:rsid w:val="000444B8"/>
    <w:rsid w:val="00055B5A"/>
    <w:rsid w:val="0007009F"/>
    <w:rsid w:val="00077ADC"/>
    <w:rsid w:val="00092B9B"/>
    <w:rsid w:val="0009447F"/>
    <w:rsid w:val="000A623E"/>
    <w:rsid w:val="000E432D"/>
    <w:rsid w:val="000F39AC"/>
    <w:rsid w:val="00103F1F"/>
    <w:rsid w:val="00110D56"/>
    <w:rsid w:val="001167A5"/>
    <w:rsid w:val="001171D1"/>
    <w:rsid w:val="0012369F"/>
    <w:rsid w:val="001667E7"/>
    <w:rsid w:val="0018784D"/>
    <w:rsid w:val="0019300C"/>
    <w:rsid w:val="00196063"/>
    <w:rsid w:val="001A11CF"/>
    <w:rsid w:val="001A5C1F"/>
    <w:rsid w:val="001B7FCE"/>
    <w:rsid w:val="001D7934"/>
    <w:rsid w:val="001F3015"/>
    <w:rsid w:val="0020230C"/>
    <w:rsid w:val="00233A07"/>
    <w:rsid w:val="00237AA9"/>
    <w:rsid w:val="0024502E"/>
    <w:rsid w:val="002560D5"/>
    <w:rsid w:val="002576E3"/>
    <w:rsid w:val="00276916"/>
    <w:rsid w:val="0029469D"/>
    <w:rsid w:val="002F5141"/>
    <w:rsid w:val="0030088B"/>
    <w:rsid w:val="00302847"/>
    <w:rsid w:val="00306F90"/>
    <w:rsid w:val="00327258"/>
    <w:rsid w:val="003523C4"/>
    <w:rsid w:val="0035323C"/>
    <w:rsid w:val="003570D4"/>
    <w:rsid w:val="003766D0"/>
    <w:rsid w:val="00380805"/>
    <w:rsid w:val="0039330E"/>
    <w:rsid w:val="003C24F3"/>
    <w:rsid w:val="00401DDD"/>
    <w:rsid w:val="00416532"/>
    <w:rsid w:val="00426887"/>
    <w:rsid w:val="0043352D"/>
    <w:rsid w:val="00445BE3"/>
    <w:rsid w:val="004569A4"/>
    <w:rsid w:val="00462D02"/>
    <w:rsid w:val="004646B6"/>
    <w:rsid w:val="00476BE4"/>
    <w:rsid w:val="004941F4"/>
    <w:rsid w:val="00496BB1"/>
    <w:rsid w:val="004A3343"/>
    <w:rsid w:val="004B75D0"/>
    <w:rsid w:val="00563F52"/>
    <w:rsid w:val="0057713D"/>
    <w:rsid w:val="00581D23"/>
    <w:rsid w:val="0058513F"/>
    <w:rsid w:val="00591AE9"/>
    <w:rsid w:val="005A3BAC"/>
    <w:rsid w:val="005D7C2D"/>
    <w:rsid w:val="005E1AAD"/>
    <w:rsid w:val="0065299E"/>
    <w:rsid w:val="0065746D"/>
    <w:rsid w:val="006F610B"/>
    <w:rsid w:val="007163A0"/>
    <w:rsid w:val="00733597"/>
    <w:rsid w:val="007354E5"/>
    <w:rsid w:val="00735AB7"/>
    <w:rsid w:val="007422A6"/>
    <w:rsid w:val="00765FE8"/>
    <w:rsid w:val="007A495C"/>
    <w:rsid w:val="007B2CAF"/>
    <w:rsid w:val="007D56F4"/>
    <w:rsid w:val="007D647B"/>
    <w:rsid w:val="007E6E14"/>
    <w:rsid w:val="007F5763"/>
    <w:rsid w:val="008144C5"/>
    <w:rsid w:val="008150CD"/>
    <w:rsid w:val="008515C9"/>
    <w:rsid w:val="00852DDC"/>
    <w:rsid w:val="0085630C"/>
    <w:rsid w:val="008B4A24"/>
    <w:rsid w:val="008C1173"/>
    <w:rsid w:val="008D29F0"/>
    <w:rsid w:val="008E036E"/>
    <w:rsid w:val="008F5340"/>
    <w:rsid w:val="00931AD2"/>
    <w:rsid w:val="00932007"/>
    <w:rsid w:val="009667D2"/>
    <w:rsid w:val="00967695"/>
    <w:rsid w:val="00975123"/>
    <w:rsid w:val="00976015"/>
    <w:rsid w:val="0099486D"/>
    <w:rsid w:val="009A3B1C"/>
    <w:rsid w:val="009B3183"/>
    <w:rsid w:val="009C290C"/>
    <w:rsid w:val="009D473D"/>
    <w:rsid w:val="009E0537"/>
    <w:rsid w:val="009F63B1"/>
    <w:rsid w:val="00A016A7"/>
    <w:rsid w:val="00A41DD2"/>
    <w:rsid w:val="00A562CF"/>
    <w:rsid w:val="00A84DCB"/>
    <w:rsid w:val="00A946C1"/>
    <w:rsid w:val="00A95D3A"/>
    <w:rsid w:val="00AC196E"/>
    <w:rsid w:val="00AC20EA"/>
    <w:rsid w:val="00B424DC"/>
    <w:rsid w:val="00B43C1F"/>
    <w:rsid w:val="00B4772E"/>
    <w:rsid w:val="00B743E3"/>
    <w:rsid w:val="00B96C27"/>
    <w:rsid w:val="00BA1364"/>
    <w:rsid w:val="00BB2D57"/>
    <w:rsid w:val="00BB5A81"/>
    <w:rsid w:val="00BD32DF"/>
    <w:rsid w:val="00BD526D"/>
    <w:rsid w:val="00BE042A"/>
    <w:rsid w:val="00BE4D6F"/>
    <w:rsid w:val="00BE52C3"/>
    <w:rsid w:val="00C478CF"/>
    <w:rsid w:val="00C524EB"/>
    <w:rsid w:val="00C6621F"/>
    <w:rsid w:val="00C76AD1"/>
    <w:rsid w:val="00C77C87"/>
    <w:rsid w:val="00C91C06"/>
    <w:rsid w:val="00C9764C"/>
    <w:rsid w:val="00CA6E16"/>
    <w:rsid w:val="00CE557F"/>
    <w:rsid w:val="00D011AE"/>
    <w:rsid w:val="00D10630"/>
    <w:rsid w:val="00D1354C"/>
    <w:rsid w:val="00D218CD"/>
    <w:rsid w:val="00D32480"/>
    <w:rsid w:val="00D33DC1"/>
    <w:rsid w:val="00D400EB"/>
    <w:rsid w:val="00D4297C"/>
    <w:rsid w:val="00D65DF1"/>
    <w:rsid w:val="00D81394"/>
    <w:rsid w:val="00D92224"/>
    <w:rsid w:val="00D97F70"/>
    <w:rsid w:val="00DC62AA"/>
    <w:rsid w:val="00DE56DE"/>
    <w:rsid w:val="00E23D27"/>
    <w:rsid w:val="00E24098"/>
    <w:rsid w:val="00E47F80"/>
    <w:rsid w:val="00E52D2E"/>
    <w:rsid w:val="00E77696"/>
    <w:rsid w:val="00E8008A"/>
    <w:rsid w:val="00EB1A7A"/>
    <w:rsid w:val="00EB4892"/>
    <w:rsid w:val="00EC3093"/>
    <w:rsid w:val="00EE024F"/>
    <w:rsid w:val="00F01C64"/>
    <w:rsid w:val="00F01DA3"/>
    <w:rsid w:val="00F24207"/>
    <w:rsid w:val="00F61697"/>
    <w:rsid w:val="00F640CA"/>
    <w:rsid w:val="00F75CAA"/>
    <w:rsid w:val="00F948DC"/>
    <w:rsid w:val="00F97163"/>
    <w:rsid w:val="00FA2511"/>
    <w:rsid w:val="00FA6500"/>
    <w:rsid w:val="00FC2AC2"/>
    <w:rsid w:val="00FC4B1C"/>
    <w:rsid w:val="00FF6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DocumentMap">
    <w:name w:val="Document Map"/>
    <w:basedOn w:val="Normal"/>
    <w:link w:val="DocumentMapChar"/>
    <w:rsid w:val="00D1354C"/>
    <w:rPr>
      <w:rFonts w:ascii="Tahoma" w:hAnsi="Tahoma" w:cs="Tahoma"/>
      <w:sz w:val="16"/>
      <w:szCs w:val="16"/>
    </w:rPr>
  </w:style>
  <w:style w:type="character" w:customStyle="1" w:styleId="DocumentMapChar">
    <w:name w:val="Document Map Char"/>
    <w:basedOn w:val="DefaultParagraphFont"/>
    <w:link w:val="DocumentMap"/>
    <w:rsid w:val="00D1354C"/>
    <w:rPr>
      <w:rFonts w:ascii="Tahoma" w:hAnsi="Tahoma" w:cs="Tahoma"/>
      <w:sz w:val="16"/>
      <w:szCs w:val="16"/>
      <w:lang w:eastAsia="en-US"/>
    </w:rPr>
  </w:style>
  <w:style w:type="character" w:styleId="Hyperlink">
    <w:name w:val="Hyperlink"/>
    <w:basedOn w:val="DefaultParagraphFont"/>
    <w:rsid w:val="001F3015"/>
    <w:rPr>
      <w:color w:val="0000FF"/>
      <w:u w:val="single"/>
    </w:rPr>
  </w:style>
</w:styles>
</file>

<file path=word/webSettings.xml><?xml version="1.0" encoding="utf-8"?>
<w:webSettings xmlns:r="http://schemas.openxmlformats.org/officeDocument/2006/relationships" xmlns:w="http://schemas.openxmlformats.org/wordprocessingml/2006/main">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gcc.state.co.us/RR_Docs_new/Policies/COGCC_MIT_Guidance_7-6-2014.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_GEN\Letterhead%20Templates\NEWLetterhead_Denver_20140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3ECC-A83B-4378-A666-B0CF4647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NEWLetterhead_Denver_20140415</Template>
  <TotalTime>2</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Colorado Oil &amp; Gas Conservation Commission</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BradshaL</dc:creator>
  <cp:lastModifiedBy>BradshaL</cp:lastModifiedBy>
  <cp:revision>4</cp:revision>
  <cp:lastPrinted>2014-08-22T22:46:00Z</cp:lastPrinted>
  <dcterms:created xsi:type="dcterms:W3CDTF">2014-09-24T18:31:00Z</dcterms:created>
  <dcterms:modified xsi:type="dcterms:W3CDTF">2014-09-25T16:10:00Z</dcterms:modified>
</cp:coreProperties>
</file>